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1B35" w14:textId="77777777" w:rsidR="001D3FFC" w:rsidRDefault="001D3FFC">
      <w:pPr>
        <w:pStyle w:val="Telobesedila"/>
        <w:rPr>
          <w:rFonts w:ascii="Times New Roman"/>
        </w:rPr>
      </w:pPr>
    </w:p>
    <w:p w14:paraId="2D73A3AF" w14:textId="77777777" w:rsidR="001D3FFC" w:rsidRDefault="001D3FFC">
      <w:pPr>
        <w:pStyle w:val="Telobesedila"/>
        <w:spacing w:before="10"/>
        <w:rPr>
          <w:rFonts w:ascii="Times New Roman"/>
          <w:sz w:val="22"/>
        </w:rPr>
      </w:pPr>
    </w:p>
    <w:p w14:paraId="485B4BD6" w14:textId="77777777" w:rsidR="001D3FFC" w:rsidRDefault="00C0742E">
      <w:pPr>
        <w:pStyle w:val="Naslov"/>
        <w:spacing w:line="242" w:lineRule="auto"/>
      </w:pPr>
      <w:r>
        <w:t>Audi leto 2020 zaključil z najuspešnejšim četrtletjem v zgodovini podjetja</w:t>
      </w:r>
    </w:p>
    <w:p w14:paraId="717933B8" w14:textId="77777777" w:rsidR="001D3FFC" w:rsidRDefault="001D3FFC">
      <w:pPr>
        <w:pStyle w:val="Telobesedila"/>
        <w:spacing w:before="5"/>
        <w:rPr>
          <w:rFonts w:ascii="Audi Type Extended"/>
          <w:b/>
          <w:sz w:val="28"/>
        </w:rPr>
      </w:pPr>
    </w:p>
    <w:p w14:paraId="51C21806" w14:textId="77777777" w:rsidR="001D3FFC" w:rsidRDefault="00C0742E">
      <w:pPr>
        <w:pStyle w:val="Odstavekseznama"/>
        <w:numPr>
          <w:ilvl w:val="0"/>
          <w:numId w:val="1"/>
        </w:numPr>
        <w:tabs>
          <w:tab w:val="left" w:pos="743"/>
          <w:tab w:val="left" w:pos="744"/>
        </w:tabs>
        <w:spacing w:before="0"/>
        <w:ind w:hanging="426"/>
        <w:rPr>
          <w:b/>
        </w:rPr>
      </w:pPr>
      <w:r>
        <w:rPr>
          <w:b/>
        </w:rPr>
        <w:t>Od oktobra do decembra prodanih več kot 500.000 vozil</w:t>
      </w:r>
    </w:p>
    <w:p w14:paraId="1E207387" w14:textId="77777777" w:rsidR="001D3FFC" w:rsidRDefault="00C0742E">
      <w:pPr>
        <w:pStyle w:val="Odstavekseznama"/>
        <w:numPr>
          <w:ilvl w:val="0"/>
          <w:numId w:val="1"/>
        </w:numPr>
        <w:tabs>
          <w:tab w:val="left" w:pos="743"/>
          <w:tab w:val="left" w:pos="744"/>
        </w:tabs>
        <w:ind w:hanging="426"/>
        <w:rPr>
          <w:b/>
        </w:rPr>
      </w:pPr>
      <w:r>
        <w:rPr>
          <w:b/>
        </w:rPr>
        <w:t>V zahtevnem letu so po vsem svetu prodali skupno 1,69 milijona vozil</w:t>
      </w:r>
    </w:p>
    <w:p w14:paraId="5DFCB13F" w14:textId="77777777" w:rsidR="001D3FFC" w:rsidRDefault="00C0742E">
      <w:pPr>
        <w:pStyle w:val="Odstavekseznama"/>
        <w:numPr>
          <w:ilvl w:val="0"/>
          <w:numId w:val="1"/>
        </w:numPr>
        <w:tabs>
          <w:tab w:val="left" w:pos="743"/>
          <w:tab w:val="left" w:pos="744"/>
        </w:tabs>
        <w:spacing w:before="15"/>
        <w:ind w:hanging="426"/>
        <w:rPr>
          <w:b/>
        </w:rPr>
      </w:pPr>
      <w:r>
        <w:rPr>
          <w:b/>
        </w:rPr>
        <w:t>Nov rekord na Kitajskem: 727.358 prodanih vozil (+5,4 %)</w:t>
      </w:r>
    </w:p>
    <w:p w14:paraId="4228A85C" w14:textId="77777777" w:rsidR="001D3FFC" w:rsidRDefault="00C0742E">
      <w:pPr>
        <w:pStyle w:val="Odstavekseznama"/>
        <w:numPr>
          <w:ilvl w:val="0"/>
          <w:numId w:val="1"/>
        </w:numPr>
        <w:tabs>
          <w:tab w:val="left" w:pos="743"/>
          <w:tab w:val="left" w:pos="744"/>
        </w:tabs>
        <w:spacing w:line="271" w:lineRule="auto"/>
        <w:ind w:right="684"/>
        <w:rPr>
          <w:b/>
        </w:rPr>
      </w:pPr>
      <w:r>
        <w:rPr>
          <w:b/>
        </w:rPr>
        <w:t xml:space="preserve">Hildegard </w:t>
      </w:r>
      <w:proofErr w:type="spellStart"/>
      <w:r>
        <w:rPr>
          <w:b/>
        </w:rPr>
        <w:t>Wortmann</w:t>
      </w:r>
      <w:proofErr w:type="spellEnd"/>
      <w:r>
        <w:rPr>
          <w:b/>
        </w:rPr>
        <w:t>, direktorica za prodajo in marketing: "V letu 2021 si želimo nadaljnje rasti"</w:t>
      </w:r>
    </w:p>
    <w:p w14:paraId="2CCFAF89" w14:textId="77777777" w:rsidR="001D3FFC" w:rsidRDefault="001D3FFC">
      <w:pPr>
        <w:pStyle w:val="Telobesedila"/>
        <w:spacing w:before="9"/>
        <w:rPr>
          <w:b/>
          <w:sz w:val="26"/>
        </w:rPr>
      </w:pPr>
    </w:p>
    <w:p w14:paraId="368DD3A4" w14:textId="44D992F4" w:rsidR="001D3FFC" w:rsidRDefault="00C0742E" w:rsidP="00F260E8">
      <w:pPr>
        <w:pStyle w:val="Naslov1"/>
        <w:spacing w:line="300" w:lineRule="auto"/>
      </w:pPr>
      <w:proofErr w:type="spellStart"/>
      <w:r>
        <w:t>Ingolstadt</w:t>
      </w:r>
      <w:proofErr w:type="spellEnd"/>
      <w:r>
        <w:t xml:space="preserve"> (Nemčija), </w:t>
      </w:r>
      <w:bookmarkStart w:id="0" w:name="_GoBack"/>
      <w:bookmarkEnd w:id="0"/>
      <w:r>
        <w:t xml:space="preserve">januar 2021 – Družba Audi AG je leto 2020 na področju prodaje zaključila z najuspešnejšim četrtletjem v svoji zgodovini: od oktobra do decembra je podjetje končnim kupcem prodalo 505.583 avtomobilov – to je bilo prvič, da je bilo v enem četrtletju prodanih več kot pol milijona vozil. V zahtevnem letu, ki so ga po vsem svetu zaznamovale omejitve zaradi </w:t>
      </w:r>
      <w:proofErr w:type="spellStart"/>
      <w:r>
        <w:t>koronapandemije</w:t>
      </w:r>
      <w:proofErr w:type="spellEnd"/>
      <w:r>
        <w:t>, je Audi skupno prodal 1.692.773 vozil, kar je 8,3 odstotka manj kot v predhodnem letu. Kljub vsemu pa je podjetje na Kitajskem s 727.358 prodanimi vozili zabeležilo nov rekordni rezultat (+5,4 odstotka).</w:t>
      </w:r>
    </w:p>
    <w:p w14:paraId="79FD0F3E" w14:textId="77777777" w:rsidR="001D3FFC" w:rsidRDefault="001D3FFC" w:rsidP="00F260E8">
      <w:pPr>
        <w:pStyle w:val="Telobesedila"/>
        <w:ind w:right="160"/>
        <w:rPr>
          <w:b/>
          <w:sz w:val="25"/>
        </w:rPr>
      </w:pPr>
    </w:p>
    <w:p w14:paraId="0F770982" w14:textId="1CCB1FFF" w:rsidR="001D3FFC" w:rsidRDefault="00C0742E" w:rsidP="00F260E8">
      <w:pPr>
        <w:pStyle w:val="Telobesedila"/>
        <w:spacing w:line="300" w:lineRule="auto"/>
        <w:ind w:left="318" w:right="160"/>
      </w:pPr>
      <w:r>
        <w:t xml:space="preserve">"Sredi preteklega leta smo po zaslugi zelo dobrega timskega dela na mednarodni ravni z zagonom izšli iz prvega </w:t>
      </w:r>
      <w:proofErr w:type="spellStart"/>
      <w:r>
        <w:t>koronavala</w:t>
      </w:r>
      <w:proofErr w:type="spellEnd"/>
      <w:r>
        <w:t xml:space="preserve">. Po močnem tretjem četrtletju je to pomenilo tudi uspešen </w:t>
      </w:r>
      <w:proofErr w:type="spellStart"/>
      <w:r>
        <w:t>finiš</w:t>
      </w:r>
      <w:proofErr w:type="spellEnd"/>
      <w:r>
        <w:t xml:space="preserve"> v letu 2020," je povedala Hildegard</w:t>
      </w:r>
      <w:r w:rsidR="00F260E8">
        <w:t xml:space="preserve"> </w:t>
      </w:r>
      <w:proofErr w:type="spellStart"/>
      <w:r>
        <w:t>Wortmann</w:t>
      </w:r>
      <w:proofErr w:type="spellEnd"/>
      <w:r>
        <w:t>, direktorica za prodajo in marketing v Audi AG. "Situacija po vsem svetu zaenkrat ostaja težavna. Kljub temu smo si za leto 2021 zastavili ambiciozne cilje, želimo si nadaljnje rasti in s pozitivno naravnanostjo gledamo naprej."</w:t>
      </w:r>
    </w:p>
    <w:p w14:paraId="64B47BA5" w14:textId="77777777" w:rsidR="001D3FFC" w:rsidRDefault="001D3FFC" w:rsidP="00F260E8">
      <w:pPr>
        <w:pStyle w:val="Telobesedila"/>
        <w:spacing w:before="11"/>
        <w:ind w:right="160"/>
        <w:rPr>
          <w:sz w:val="24"/>
        </w:rPr>
      </w:pPr>
    </w:p>
    <w:p w14:paraId="7AF8445A" w14:textId="77777777" w:rsidR="001D3FFC" w:rsidRDefault="00C0742E" w:rsidP="00F260E8">
      <w:pPr>
        <w:pStyle w:val="Telobesedila"/>
        <w:spacing w:before="1" w:line="300" w:lineRule="auto"/>
        <w:ind w:left="318" w:right="160"/>
      </w:pPr>
      <w:r>
        <w:t xml:space="preserve">Z vzpostavitvijo digitalnih prodajnih in servisnih storitev, kot je na primer Audijevo svetovanje v živo, se je znamka prilagodljivo in uspešno odzvala na izzive, ki jih je prinesla </w:t>
      </w:r>
      <w:proofErr w:type="spellStart"/>
      <w:r>
        <w:t>koronapandemija</w:t>
      </w:r>
      <w:proofErr w:type="spellEnd"/>
      <w:r>
        <w:t xml:space="preserve">. Vse širša digitalizacija v prodaji in izkušnje iz prvega </w:t>
      </w:r>
      <w:proofErr w:type="spellStart"/>
      <w:r>
        <w:t>koronavala</w:t>
      </w:r>
      <w:proofErr w:type="spellEnd"/>
      <w:r>
        <w:t xml:space="preserve"> spomladi so veliko prispevale k temu, da je Audi leto 2020 zaključil z najuspešnejšim četrtletjem v zgodovini podjetja.</w:t>
      </w:r>
    </w:p>
    <w:p w14:paraId="2163219D" w14:textId="77777777" w:rsidR="001D3FFC" w:rsidRDefault="001D3FFC" w:rsidP="00F260E8">
      <w:pPr>
        <w:pStyle w:val="Telobesedila"/>
        <w:spacing w:before="11"/>
        <w:ind w:right="160"/>
        <w:rPr>
          <w:sz w:val="24"/>
        </w:rPr>
      </w:pPr>
    </w:p>
    <w:p w14:paraId="730D53AE" w14:textId="40484513" w:rsidR="001D3FFC" w:rsidRDefault="00C0742E" w:rsidP="00F260E8">
      <w:pPr>
        <w:pStyle w:val="Telobesedila"/>
        <w:spacing w:before="1" w:line="300" w:lineRule="auto"/>
        <w:ind w:left="318" w:right="160"/>
      </w:pPr>
      <w:r>
        <w:t xml:space="preserve">Družba Audi AG nadaljuje s preobrazbo v ponudnika trajnostne </w:t>
      </w:r>
      <w:proofErr w:type="spellStart"/>
      <w:r>
        <w:t>premiumske</w:t>
      </w:r>
      <w:proofErr w:type="spellEnd"/>
      <w:r>
        <w:t xml:space="preserve"> mobilnosti in je med tremi nemškimi prestižnimi znamkami daleč največji proizvajalec </w:t>
      </w:r>
      <w:proofErr w:type="spellStart"/>
      <w:r>
        <w:t>premiumskih</w:t>
      </w:r>
      <w:proofErr w:type="spellEnd"/>
      <w:r>
        <w:t xml:space="preserve"> električnih vozil. Pri uspešnem modelu Audi e-tron (</w:t>
      </w:r>
      <w:proofErr w:type="spellStart"/>
      <w:r>
        <w:t>vklj</w:t>
      </w:r>
      <w:proofErr w:type="spellEnd"/>
      <w:r>
        <w:t xml:space="preserve">. z Audijem e-tron </w:t>
      </w:r>
      <w:proofErr w:type="spellStart"/>
      <w:r>
        <w:t>Sportback</w:t>
      </w:r>
      <w:proofErr w:type="spellEnd"/>
      <w:r>
        <w:t>*) so v preteklem letu zabeležili velik porast povpraševanja; prodanih je bilo 79,5 odstotka več vozil kot v predhodnem letu (47.324 vozil). Med nemškimi prestižnimi znamkami je Audi e-tron po vsem svetu daleč najbolje prodajani električni avto. Na Norveškem pa je celo nasploh najbolje prodajani model. V</w:t>
      </w:r>
      <w:r w:rsidR="00F260E8">
        <w:t> </w:t>
      </w:r>
      <w:r>
        <w:t>Nemčiji se je prodaja Audija e-tron (</w:t>
      </w:r>
      <w:proofErr w:type="spellStart"/>
      <w:r>
        <w:t>vklj</w:t>
      </w:r>
      <w:proofErr w:type="spellEnd"/>
      <w:r>
        <w:t xml:space="preserve">. z Audijem e-tron </w:t>
      </w:r>
      <w:proofErr w:type="spellStart"/>
      <w:r>
        <w:t>Sportback</w:t>
      </w:r>
      <w:proofErr w:type="spellEnd"/>
      <w:r>
        <w:t>*) v zadnjem četrtletju leta primerjavi s predhodnim letom več kot podvojila.</w:t>
      </w:r>
    </w:p>
    <w:p w14:paraId="61503DA2" w14:textId="77777777" w:rsidR="001D3FFC" w:rsidRDefault="001D3FFC" w:rsidP="00F260E8">
      <w:pPr>
        <w:pStyle w:val="Telobesedila"/>
        <w:ind w:right="160"/>
      </w:pPr>
    </w:p>
    <w:p w14:paraId="5E5960C4" w14:textId="77777777" w:rsidR="001D3FFC" w:rsidRDefault="001D3FFC" w:rsidP="00F260E8">
      <w:pPr>
        <w:pStyle w:val="Telobesedila"/>
        <w:ind w:right="160"/>
      </w:pPr>
    </w:p>
    <w:p w14:paraId="25E23524" w14:textId="77777777" w:rsidR="001D3FFC" w:rsidRDefault="001D3FFC" w:rsidP="00F260E8">
      <w:pPr>
        <w:pStyle w:val="Telobesedila"/>
        <w:ind w:right="160"/>
      </w:pPr>
    </w:p>
    <w:p w14:paraId="721D7C2B" w14:textId="77777777" w:rsidR="001D3FFC" w:rsidRDefault="001D3FFC" w:rsidP="00F260E8">
      <w:pPr>
        <w:pStyle w:val="Telobesedila"/>
        <w:ind w:right="160"/>
      </w:pPr>
    </w:p>
    <w:p w14:paraId="70317282" w14:textId="77777777" w:rsidR="001D3FFC" w:rsidRDefault="001D3FFC">
      <w:pPr>
        <w:pStyle w:val="Telobesedila"/>
        <w:spacing w:before="10"/>
        <w:rPr>
          <w:sz w:val="25"/>
        </w:rPr>
      </w:pPr>
    </w:p>
    <w:p w14:paraId="3402CCDA" w14:textId="77777777" w:rsidR="001D3FFC" w:rsidRDefault="00C0742E">
      <w:pPr>
        <w:spacing w:before="112" w:line="244" w:lineRule="auto"/>
        <w:ind w:left="318" w:right="160"/>
        <w:rPr>
          <w:sz w:val="18"/>
        </w:rPr>
      </w:pPr>
      <w:r>
        <w:rPr>
          <w:sz w:val="18"/>
        </w:rPr>
        <w:t>* Zbrane vrednosti porabe vseh omenjenih modelov, ki so na voljo na nemškem trgu, so navedene v seznamu na koncu tega sporočila za medije.</w:t>
      </w:r>
    </w:p>
    <w:p w14:paraId="6A79A920" w14:textId="77777777" w:rsidR="001D3FFC" w:rsidRDefault="001D3FFC">
      <w:pPr>
        <w:spacing w:line="244" w:lineRule="auto"/>
        <w:rPr>
          <w:sz w:val="18"/>
        </w:rPr>
        <w:sectPr w:rsidR="001D3FFC">
          <w:headerReference w:type="default" r:id="rId7"/>
          <w:footerReference w:type="default" r:id="rId8"/>
          <w:type w:val="continuous"/>
          <w:pgSz w:w="11910" w:h="16840"/>
          <w:pgMar w:top="1660" w:right="1300" w:bottom="460" w:left="1100" w:header="804" w:footer="262" w:gutter="0"/>
          <w:pgNumType w:start="1"/>
          <w:cols w:space="708"/>
        </w:sectPr>
      </w:pPr>
    </w:p>
    <w:p w14:paraId="585A19F9" w14:textId="77777777" w:rsidR="001D3FFC" w:rsidRDefault="001D3FFC">
      <w:pPr>
        <w:pStyle w:val="Telobesedila"/>
      </w:pPr>
    </w:p>
    <w:p w14:paraId="13A34E23" w14:textId="77777777" w:rsidR="001D3FFC" w:rsidRDefault="001D3FFC">
      <w:pPr>
        <w:pStyle w:val="Telobesedila"/>
      </w:pPr>
    </w:p>
    <w:p w14:paraId="7AF93EAC" w14:textId="77777777" w:rsidR="001D3FFC" w:rsidRDefault="001D3FFC">
      <w:pPr>
        <w:pStyle w:val="Telobesedila"/>
        <w:spacing w:before="11"/>
        <w:rPr>
          <w:sz w:val="29"/>
        </w:rPr>
      </w:pPr>
    </w:p>
    <w:p w14:paraId="46E641E6" w14:textId="12BBC46A" w:rsidR="001D3FFC" w:rsidRDefault="00C0742E" w:rsidP="00F260E8">
      <w:pPr>
        <w:pStyle w:val="Telobesedila"/>
        <w:spacing w:before="113" w:line="300" w:lineRule="auto"/>
        <w:ind w:left="318" w:right="154"/>
      </w:pPr>
      <w:r>
        <w:t xml:space="preserve">Če si pogledamo ostale modele iz Audijeve ponudbe, vidimo, da se je prodaja še zlasti povečala pri Audiju Q3 (+18,1 % v primerjavi s predhodnim letom) in pri Audiju A6 (+11,8 %). Med kupci so bili dobro sprejeti tudi visoko zmogljivi modeli, ki se prodajajo pod oznako Audi </w:t>
      </w:r>
      <w:proofErr w:type="spellStart"/>
      <w:r>
        <w:t>Sport</w:t>
      </w:r>
      <w:proofErr w:type="spellEnd"/>
      <w:r>
        <w:t>: v letu 2020 jih je bilo prodanih več kot 29.300, kar pomeni nov rekord in zanesljiv porast v višini 16,1</w:t>
      </w:r>
      <w:r w:rsidR="00F260E8">
        <w:t> </w:t>
      </w:r>
      <w:r>
        <w:t>odstotka v primerjavi s predhodnim letom.</w:t>
      </w:r>
    </w:p>
    <w:p w14:paraId="0A7AE050" w14:textId="77777777" w:rsidR="001D3FFC" w:rsidRDefault="001D3FFC" w:rsidP="00F260E8">
      <w:pPr>
        <w:pStyle w:val="Telobesedila"/>
        <w:ind w:right="154"/>
        <w:rPr>
          <w:sz w:val="25"/>
        </w:rPr>
      </w:pPr>
    </w:p>
    <w:p w14:paraId="2CFF87BB" w14:textId="453AEA0E" w:rsidR="001D3FFC" w:rsidRDefault="00C0742E" w:rsidP="00F260E8">
      <w:pPr>
        <w:pStyle w:val="Telobesedila"/>
        <w:spacing w:line="300" w:lineRule="auto"/>
        <w:ind w:left="318" w:right="154"/>
      </w:pPr>
      <w:r>
        <w:t xml:space="preserve">Na </w:t>
      </w:r>
      <w:r>
        <w:rPr>
          <w:b/>
        </w:rPr>
        <w:t xml:space="preserve">Kitajskem </w:t>
      </w:r>
      <w:r>
        <w:t xml:space="preserve">je Audi v minulem letu končnim kupcem prodal več vozil kot </w:t>
      </w:r>
      <w:proofErr w:type="spellStart"/>
      <w:r>
        <w:t>kdajkoli</w:t>
      </w:r>
      <w:proofErr w:type="spellEnd"/>
      <w:r>
        <w:t xml:space="preserve"> prej. 727.358 prodanih avtomobilov pomeni porast v višini 5,4 odstotka. Tudi zadnje četrtletje je bilo z</w:t>
      </w:r>
      <w:r w:rsidR="00F260E8">
        <w:t xml:space="preserve"> </w:t>
      </w:r>
      <w:r>
        <w:t>214.467 prodanimi vozili (+7,7 %) tako uspešno kot še nikdar prej. Na Audijevem največjem trgu sta k novim rekordnim rezultat pripomogla tudi hitro gospodarsko okrevanje in veliko povpraševanje po individualni mobilnosti. Še posebej pozitiven je bil razvoj pri modelih Audi Q2 (+33,8 %), Audi A6 (+41,1 %), Audi A7 (+142,1 %) in Audi A8 (+13,8 %).</w:t>
      </w:r>
    </w:p>
    <w:p w14:paraId="6206E573" w14:textId="77777777" w:rsidR="001D3FFC" w:rsidRDefault="001D3FFC" w:rsidP="00F260E8">
      <w:pPr>
        <w:pStyle w:val="Telobesedila"/>
        <w:ind w:right="154"/>
        <w:rPr>
          <w:sz w:val="25"/>
        </w:rPr>
      </w:pPr>
    </w:p>
    <w:p w14:paraId="3D9D68C9" w14:textId="77777777" w:rsidR="001D3FFC" w:rsidRDefault="00C0742E" w:rsidP="00F260E8">
      <w:pPr>
        <w:pStyle w:val="Telobesedila"/>
        <w:spacing w:line="300" w:lineRule="auto"/>
        <w:ind w:left="318" w:right="12"/>
      </w:pPr>
      <w:r>
        <w:t xml:space="preserve">V </w:t>
      </w:r>
      <w:r>
        <w:rPr>
          <w:b/>
        </w:rPr>
        <w:t xml:space="preserve">ZDA </w:t>
      </w:r>
      <w:r>
        <w:t>pomeni 186.620 prodanih vozil za 16,7 odstotka slabši rezultat kot v predhodnem letu. Veliko povpraševanje s strani potrošnikov in trend rasti ob koncu leta pa nakazujeta pozitivno dinamiko za leto 2021. Še zlasti v SUV-segmentu je opazno povečano povpraševanje. Tako je v letu 2020 delež SUV-modelov med prodanimi vozili znašal 66 odstotkov, v četrtem četrtletju pa celo 74 odstotkov. V celotnem letu sta bila pomembno gonilo prodaje modela Audi Q3 (+83,9 %) in Audi e-tron (+10 %). V četrtem četrtletju sta se odlično prodajala tudi modela Audi Q5 (+15 %) in Audi Q8 (+11 %).</w:t>
      </w:r>
    </w:p>
    <w:p w14:paraId="5AC9B219" w14:textId="77777777" w:rsidR="001D3FFC" w:rsidRDefault="001D3FFC" w:rsidP="00F260E8">
      <w:pPr>
        <w:pStyle w:val="Telobesedila"/>
        <w:spacing w:before="1"/>
        <w:ind w:right="154"/>
        <w:rPr>
          <w:sz w:val="25"/>
        </w:rPr>
      </w:pPr>
    </w:p>
    <w:p w14:paraId="06C24313" w14:textId="58ED7B0B" w:rsidR="001D3FFC" w:rsidRDefault="00C0742E" w:rsidP="00F260E8">
      <w:pPr>
        <w:pStyle w:val="Telobesedila"/>
        <w:spacing w:line="300" w:lineRule="auto"/>
        <w:ind w:left="318" w:right="154"/>
      </w:pPr>
      <w:r>
        <w:t xml:space="preserve">V </w:t>
      </w:r>
      <w:r>
        <w:rPr>
          <w:b/>
        </w:rPr>
        <w:t xml:space="preserve">Evropi </w:t>
      </w:r>
      <w:r>
        <w:t xml:space="preserve">je prodaja v letu 2020 padla za 19,5 odstotka; prodanih je bilo 619.723 avtomobilov. Kljub temu pa se je pozitivno razvijala prodaja modelov Audi e-tron (+80,6 %, </w:t>
      </w:r>
      <w:proofErr w:type="spellStart"/>
      <w:r>
        <w:t>vklj</w:t>
      </w:r>
      <w:proofErr w:type="spellEnd"/>
      <w:r>
        <w:t>. z Audijem e</w:t>
      </w:r>
      <w:r w:rsidR="00F260E8">
        <w:noBreakHyphen/>
      </w:r>
      <w:r>
        <w:t xml:space="preserve">tron </w:t>
      </w:r>
      <w:proofErr w:type="spellStart"/>
      <w:r>
        <w:t>Sportback</w:t>
      </w:r>
      <w:proofErr w:type="spellEnd"/>
      <w:r>
        <w:t xml:space="preserve">*) in Audi Q7 (+6,3 %). Kljub temu da je bilo vse več omejitev zaradi </w:t>
      </w:r>
      <w:proofErr w:type="spellStart"/>
      <w:r>
        <w:t>korona</w:t>
      </w:r>
      <w:r w:rsidR="00F260E8">
        <w:softHyphen/>
      </w:r>
      <w:r>
        <w:t>pandemije</w:t>
      </w:r>
      <w:proofErr w:type="spellEnd"/>
      <w:r>
        <w:t>, se je v četrtem četrtletju trend spet obrnil navzgor: od oktobra do decembra je bilo prodanih 178.891 vozil, kar je 2,5 odstotka več kot v enakem obdobju predhodnega leta. V Nemčiji je Audi v vsem letu prodal 214.427 avtomobilov (–21,1 %). A tudi na domačem trgu se je povpraševanje v četrtem četrtletju spet opazno povečalo: prodanih je bilo 61.231 vozil, kar je 9,2 odstotka več kot leto prej.</w:t>
      </w:r>
    </w:p>
    <w:p w14:paraId="6593E925" w14:textId="77777777" w:rsidR="001D3FFC" w:rsidRDefault="001D3FFC" w:rsidP="00F260E8">
      <w:pPr>
        <w:spacing w:line="300" w:lineRule="auto"/>
        <w:ind w:right="154"/>
        <w:sectPr w:rsidR="001D3FFC">
          <w:pgSz w:w="11910" w:h="16840"/>
          <w:pgMar w:top="1660" w:right="1300" w:bottom="460" w:left="1100" w:header="804" w:footer="262" w:gutter="0"/>
          <w:cols w:space="708"/>
        </w:sectPr>
      </w:pPr>
    </w:p>
    <w:p w14:paraId="766427F3" w14:textId="77777777" w:rsidR="001D3FFC" w:rsidRDefault="001D3FFC">
      <w:pPr>
        <w:pStyle w:val="Telobesedila"/>
      </w:pPr>
    </w:p>
    <w:p w14:paraId="7B5D8A9D" w14:textId="77777777" w:rsidR="001D3FFC" w:rsidRDefault="001D3FFC">
      <w:pPr>
        <w:pStyle w:val="Telobesedila"/>
      </w:pPr>
    </w:p>
    <w:p w14:paraId="4E9B9442" w14:textId="77777777" w:rsidR="001D3FFC" w:rsidRDefault="001D3FFC">
      <w:pPr>
        <w:pStyle w:val="Telobesedila"/>
      </w:pPr>
    </w:p>
    <w:p w14:paraId="41937F1E" w14:textId="77777777" w:rsidR="001D3FFC" w:rsidRDefault="001D3FFC">
      <w:pPr>
        <w:pStyle w:val="Telobesedila"/>
        <w:spacing w:before="1"/>
        <w:rPr>
          <w:sz w:val="26"/>
        </w:rPr>
      </w:pPr>
    </w:p>
    <w:tbl>
      <w:tblPr>
        <w:tblStyle w:val="TableNormal"/>
        <w:tblW w:w="0" w:type="auto"/>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05"/>
        <w:gridCol w:w="1981"/>
        <w:gridCol w:w="1834"/>
        <w:gridCol w:w="2854"/>
      </w:tblGrid>
      <w:tr w:rsidR="001D3FFC" w14:paraId="04ED36DD" w14:textId="77777777">
        <w:trPr>
          <w:trHeight w:val="683"/>
        </w:trPr>
        <w:tc>
          <w:tcPr>
            <w:tcW w:w="2105" w:type="dxa"/>
          </w:tcPr>
          <w:p w14:paraId="52808541" w14:textId="29962DDD" w:rsidR="001D3FFC" w:rsidRDefault="00C0742E">
            <w:pPr>
              <w:pStyle w:val="TableParagraph"/>
              <w:spacing w:before="37" w:line="320" w:lineRule="atLeast"/>
              <w:ind w:left="71" w:right="122"/>
              <w:jc w:val="left"/>
              <w:rPr>
                <w:b/>
                <w:sz w:val="20"/>
              </w:rPr>
            </w:pPr>
            <w:r>
              <w:rPr>
                <w:b/>
                <w:sz w:val="20"/>
              </w:rPr>
              <w:t xml:space="preserve">Prodaja vozil </w:t>
            </w:r>
            <w:r w:rsidR="00F260E8">
              <w:rPr>
                <w:b/>
                <w:sz w:val="20"/>
              </w:rPr>
              <w:br/>
            </w:r>
            <w:r>
              <w:rPr>
                <w:b/>
                <w:sz w:val="20"/>
              </w:rPr>
              <w:t>AUDI AG</w:t>
            </w:r>
          </w:p>
        </w:tc>
        <w:tc>
          <w:tcPr>
            <w:tcW w:w="1981" w:type="dxa"/>
          </w:tcPr>
          <w:p w14:paraId="2784E2E9" w14:textId="77777777" w:rsidR="001D3FFC" w:rsidRDefault="00C0742E" w:rsidP="00F260E8">
            <w:pPr>
              <w:pStyle w:val="TableParagraph"/>
              <w:spacing w:before="117"/>
              <w:ind w:right="299"/>
              <w:rPr>
                <w:b/>
                <w:sz w:val="20"/>
              </w:rPr>
            </w:pPr>
            <w:r>
              <w:rPr>
                <w:b/>
                <w:sz w:val="20"/>
              </w:rPr>
              <w:t>Kumulirano</w:t>
            </w:r>
          </w:p>
        </w:tc>
        <w:tc>
          <w:tcPr>
            <w:tcW w:w="1834" w:type="dxa"/>
          </w:tcPr>
          <w:p w14:paraId="3001C562" w14:textId="77777777" w:rsidR="001D3FFC" w:rsidRDefault="001D3FFC">
            <w:pPr>
              <w:pStyle w:val="TableParagraph"/>
              <w:spacing w:before="0"/>
              <w:ind w:left="0"/>
              <w:jc w:val="left"/>
              <w:rPr>
                <w:rFonts w:ascii="Times New Roman"/>
                <w:sz w:val="20"/>
              </w:rPr>
            </w:pPr>
          </w:p>
        </w:tc>
        <w:tc>
          <w:tcPr>
            <w:tcW w:w="2854" w:type="dxa"/>
          </w:tcPr>
          <w:p w14:paraId="4EFE180B" w14:textId="77777777" w:rsidR="001D3FFC" w:rsidRDefault="001D3FFC">
            <w:pPr>
              <w:pStyle w:val="TableParagraph"/>
              <w:spacing w:before="0"/>
              <w:ind w:left="0"/>
              <w:jc w:val="left"/>
              <w:rPr>
                <w:rFonts w:ascii="Times New Roman"/>
                <w:sz w:val="20"/>
              </w:rPr>
            </w:pPr>
          </w:p>
        </w:tc>
      </w:tr>
      <w:tr w:rsidR="001D3FFC" w14:paraId="3E3C6857" w14:textId="77777777">
        <w:trPr>
          <w:trHeight w:val="553"/>
        </w:trPr>
        <w:tc>
          <w:tcPr>
            <w:tcW w:w="2105" w:type="dxa"/>
          </w:tcPr>
          <w:p w14:paraId="1B5E8019" w14:textId="77777777" w:rsidR="001D3FFC" w:rsidRDefault="001D3FFC">
            <w:pPr>
              <w:pStyle w:val="TableParagraph"/>
              <w:spacing w:before="0"/>
              <w:ind w:left="0"/>
              <w:jc w:val="left"/>
              <w:rPr>
                <w:rFonts w:ascii="Times New Roman"/>
                <w:sz w:val="20"/>
              </w:rPr>
            </w:pPr>
          </w:p>
        </w:tc>
        <w:tc>
          <w:tcPr>
            <w:tcW w:w="1981" w:type="dxa"/>
          </w:tcPr>
          <w:p w14:paraId="13650152" w14:textId="77777777" w:rsidR="001D3FFC" w:rsidRDefault="00C0742E">
            <w:pPr>
              <w:pStyle w:val="TableParagraph"/>
              <w:spacing w:before="117"/>
              <w:ind w:right="348"/>
              <w:rPr>
                <w:b/>
                <w:sz w:val="20"/>
              </w:rPr>
            </w:pPr>
            <w:r>
              <w:rPr>
                <w:b/>
                <w:sz w:val="20"/>
              </w:rPr>
              <w:t>2020</w:t>
            </w:r>
          </w:p>
        </w:tc>
        <w:tc>
          <w:tcPr>
            <w:tcW w:w="1834" w:type="dxa"/>
          </w:tcPr>
          <w:p w14:paraId="24F07025" w14:textId="77777777" w:rsidR="001D3FFC" w:rsidRDefault="00C0742E">
            <w:pPr>
              <w:pStyle w:val="TableParagraph"/>
              <w:spacing w:before="117"/>
              <w:ind w:left="355" w:right="397"/>
              <w:rPr>
                <w:sz w:val="20"/>
              </w:rPr>
            </w:pPr>
            <w:r>
              <w:rPr>
                <w:sz w:val="20"/>
              </w:rPr>
              <w:t>2019</w:t>
            </w:r>
          </w:p>
        </w:tc>
        <w:tc>
          <w:tcPr>
            <w:tcW w:w="2854" w:type="dxa"/>
          </w:tcPr>
          <w:p w14:paraId="370B0E9D" w14:textId="77777777" w:rsidR="001D3FFC" w:rsidRDefault="00C0742E" w:rsidP="00F260E8">
            <w:pPr>
              <w:pStyle w:val="TableParagraph"/>
              <w:spacing w:before="117"/>
              <w:ind w:left="672" w:right="595"/>
              <w:rPr>
                <w:b/>
                <w:sz w:val="20"/>
              </w:rPr>
            </w:pPr>
            <w:r>
              <w:rPr>
                <w:b/>
                <w:sz w:val="20"/>
              </w:rPr>
              <w:t>V prim. z 2019</w:t>
            </w:r>
          </w:p>
        </w:tc>
      </w:tr>
      <w:tr w:rsidR="001D3FFC" w14:paraId="3163CE88" w14:textId="77777777">
        <w:trPr>
          <w:trHeight w:val="532"/>
        </w:trPr>
        <w:tc>
          <w:tcPr>
            <w:tcW w:w="2105" w:type="dxa"/>
          </w:tcPr>
          <w:p w14:paraId="2E7B9A23" w14:textId="77777777" w:rsidR="001D3FFC" w:rsidRDefault="00C0742E">
            <w:pPr>
              <w:pStyle w:val="TableParagraph"/>
              <w:ind w:left="71"/>
              <w:jc w:val="left"/>
              <w:rPr>
                <w:b/>
                <w:sz w:val="20"/>
              </w:rPr>
            </w:pPr>
            <w:r>
              <w:rPr>
                <w:b/>
                <w:sz w:val="20"/>
              </w:rPr>
              <w:t>Svet</w:t>
            </w:r>
          </w:p>
        </w:tc>
        <w:tc>
          <w:tcPr>
            <w:tcW w:w="1981" w:type="dxa"/>
          </w:tcPr>
          <w:p w14:paraId="56D503F6" w14:textId="77777777" w:rsidR="001D3FFC" w:rsidRDefault="00C0742E">
            <w:pPr>
              <w:pStyle w:val="TableParagraph"/>
              <w:ind w:right="453"/>
              <w:rPr>
                <w:b/>
                <w:sz w:val="20"/>
              </w:rPr>
            </w:pPr>
            <w:r>
              <w:rPr>
                <w:b/>
                <w:sz w:val="20"/>
              </w:rPr>
              <w:t>1692773</w:t>
            </w:r>
          </w:p>
        </w:tc>
        <w:tc>
          <w:tcPr>
            <w:tcW w:w="1834" w:type="dxa"/>
          </w:tcPr>
          <w:p w14:paraId="4505C6A3" w14:textId="77777777" w:rsidR="001D3FFC" w:rsidRDefault="00C0742E">
            <w:pPr>
              <w:pStyle w:val="TableParagraph"/>
              <w:ind w:left="355" w:right="402"/>
              <w:rPr>
                <w:sz w:val="20"/>
              </w:rPr>
            </w:pPr>
            <w:r>
              <w:rPr>
                <w:sz w:val="20"/>
              </w:rPr>
              <w:t>1845573</w:t>
            </w:r>
          </w:p>
        </w:tc>
        <w:tc>
          <w:tcPr>
            <w:tcW w:w="2854" w:type="dxa"/>
          </w:tcPr>
          <w:p w14:paraId="09A245FE" w14:textId="77777777" w:rsidR="001D3FFC" w:rsidRDefault="00C0742E">
            <w:pPr>
              <w:pStyle w:val="TableParagraph"/>
              <w:ind w:left="672" w:right="717"/>
              <w:rPr>
                <w:b/>
                <w:sz w:val="20"/>
              </w:rPr>
            </w:pPr>
            <w:r>
              <w:rPr>
                <w:b/>
                <w:sz w:val="20"/>
              </w:rPr>
              <w:t>–8,3 %</w:t>
            </w:r>
          </w:p>
        </w:tc>
      </w:tr>
      <w:tr w:rsidR="001D3FFC" w14:paraId="485D3985" w14:textId="77777777">
        <w:trPr>
          <w:trHeight w:val="534"/>
        </w:trPr>
        <w:tc>
          <w:tcPr>
            <w:tcW w:w="2105" w:type="dxa"/>
          </w:tcPr>
          <w:p w14:paraId="5CF70628" w14:textId="77777777" w:rsidR="001D3FFC" w:rsidRDefault="00C0742E">
            <w:pPr>
              <w:pStyle w:val="TableParagraph"/>
              <w:ind w:left="71"/>
              <w:jc w:val="left"/>
              <w:rPr>
                <w:b/>
                <w:sz w:val="20"/>
              </w:rPr>
            </w:pPr>
            <w:r>
              <w:rPr>
                <w:b/>
                <w:sz w:val="20"/>
              </w:rPr>
              <w:t>Evropa</w:t>
            </w:r>
          </w:p>
        </w:tc>
        <w:tc>
          <w:tcPr>
            <w:tcW w:w="1981" w:type="dxa"/>
          </w:tcPr>
          <w:p w14:paraId="0BB402B4" w14:textId="77777777" w:rsidR="001D3FFC" w:rsidRDefault="00C0742E">
            <w:pPr>
              <w:pStyle w:val="TableParagraph"/>
              <w:ind w:right="453"/>
              <w:rPr>
                <w:b/>
                <w:sz w:val="20"/>
              </w:rPr>
            </w:pPr>
            <w:r>
              <w:rPr>
                <w:b/>
                <w:sz w:val="20"/>
              </w:rPr>
              <w:t>619723</w:t>
            </w:r>
          </w:p>
        </w:tc>
        <w:tc>
          <w:tcPr>
            <w:tcW w:w="1834" w:type="dxa"/>
          </w:tcPr>
          <w:p w14:paraId="13D86286" w14:textId="77777777" w:rsidR="001D3FFC" w:rsidRDefault="00C0742E">
            <w:pPr>
              <w:pStyle w:val="TableParagraph"/>
              <w:ind w:left="355" w:right="399"/>
              <w:rPr>
                <w:sz w:val="20"/>
              </w:rPr>
            </w:pPr>
            <w:r>
              <w:rPr>
                <w:sz w:val="20"/>
              </w:rPr>
              <w:t>769585</w:t>
            </w:r>
          </w:p>
        </w:tc>
        <w:tc>
          <w:tcPr>
            <w:tcW w:w="2854" w:type="dxa"/>
          </w:tcPr>
          <w:p w14:paraId="6F486BD2" w14:textId="77777777" w:rsidR="001D3FFC" w:rsidRDefault="00C0742E">
            <w:pPr>
              <w:pStyle w:val="TableParagraph"/>
              <w:ind w:left="672" w:right="719"/>
              <w:rPr>
                <w:b/>
                <w:sz w:val="20"/>
              </w:rPr>
            </w:pPr>
            <w:r>
              <w:rPr>
                <w:b/>
                <w:sz w:val="20"/>
              </w:rPr>
              <w:t>–19,5 %</w:t>
            </w:r>
          </w:p>
        </w:tc>
      </w:tr>
      <w:tr w:rsidR="001D3FFC" w14:paraId="4485A964" w14:textId="77777777">
        <w:trPr>
          <w:trHeight w:val="532"/>
        </w:trPr>
        <w:tc>
          <w:tcPr>
            <w:tcW w:w="2105" w:type="dxa"/>
          </w:tcPr>
          <w:p w14:paraId="3B748240" w14:textId="77777777" w:rsidR="001D3FFC" w:rsidRDefault="00C0742E">
            <w:pPr>
              <w:pStyle w:val="TableParagraph"/>
              <w:ind w:left="213"/>
              <w:jc w:val="left"/>
              <w:rPr>
                <w:b/>
                <w:sz w:val="20"/>
              </w:rPr>
            </w:pPr>
            <w:r>
              <w:rPr>
                <w:b/>
                <w:sz w:val="20"/>
              </w:rPr>
              <w:t>- Nemčija</w:t>
            </w:r>
          </w:p>
        </w:tc>
        <w:tc>
          <w:tcPr>
            <w:tcW w:w="1981" w:type="dxa"/>
          </w:tcPr>
          <w:p w14:paraId="7FB5B068" w14:textId="77777777" w:rsidR="001D3FFC" w:rsidRDefault="00C0742E">
            <w:pPr>
              <w:pStyle w:val="TableParagraph"/>
              <w:ind w:right="453"/>
              <w:rPr>
                <w:b/>
                <w:sz w:val="20"/>
              </w:rPr>
            </w:pPr>
            <w:r>
              <w:rPr>
                <w:b/>
                <w:sz w:val="20"/>
              </w:rPr>
              <w:t>214427</w:t>
            </w:r>
          </w:p>
        </w:tc>
        <w:tc>
          <w:tcPr>
            <w:tcW w:w="1834" w:type="dxa"/>
          </w:tcPr>
          <w:p w14:paraId="783D79D8" w14:textId="77777777" w:rsidR="001D3FFC" w:rsidRDefault="00C0742E">
            <w:pPr>
              <w:pStyle w:val="TableParagraph"/>
              <w:ind w:left="355" w:right="399"/>
              <w:rPr>
                <w:sz w:val="20"/>
              </w:rPr>
            </w:pPr>
            <w:r>
              <w:rPr>
                <w:sz w:val="20"/>
              </w:rPr>
              <w:t>271613</w:t>
            </w:r>
          </w:p>
        </w:tc>
        <w:tc>
          <w:tcPr>
            <w:tcW w:w="2854" w:type="dxa"/>
          </w:tcPr>
          <w:p w14:paraId="69783B3E" w14:textId="77777777" w:rsidR="001D3FFC" w:rsidRDefault="00C0742E">
            <w:pPr>
              <w:pStyle w:val="TableParagraph"/>
              <w:ind w:left="672" w:right="719"/>
              <w:rPr>
                <w:b/>
                <w:sz w:val="20"/>
              </w:rPr>
            </w:pPr>
            <w:r>
              <w:rPr>
                <w:b/>
                <w:sz w:val="20"/>
              </w:rPr>
              <w:t>–21,1 %</w:t>
            </w:r>
          </w:p>
        </w:tc>
      </w:tr>
      <w:tr w:rsidR="001D3FFC" w14:paraId="50E48498" w14:textId="77777777">
        <w:trPr>
          <w:trHeight w:val="534"/>
        </w:trPr>
        <w:tc>
          <w:tcPr>
            <w:tcW w:w="2105" w:type="dxa"/>
          </w:tcPr>
          <w:p w14:paraId="56C0426F" w14:textId="77777777" w:rsidR="001D3FFC" w:rsidRDefault="00C0742E">
            <w:pPr>
              <w:pStyle w:val="TableParagraph"/>
              <w:ind w:left="213"/>
              <w:jc w:val="left"/>
              <w:rPr>
                <w:b/>
                <w:sz w:val="20"/>
              </w:rPr>
            </w:pPr>
            <w:r>
              <w:rPr>
                <w:b/>
                <w:sz w:val="20"/>
              </w:rPr>
              <w:t>- Velika Britanija</w:t>
            </w:r>
          </w:p>
        </w:tc>
        <w:tc>
          <w:tcPr>
            <w:tcW w:w="1981" w:type="dxa"/>
          </w:tcPr>
          <w:p w14:paraId="28C185C0" w14:textId="77777777" w:rsidR="001D3FFC" w:rsidRDefault="00C0742E">
            <w:pPr>
              <w:pStyle w:val="TableParagraph"/>
              <w:ind w:right="453"/>
              <w:rPr>
                <w:b/>
                <w:sz w:val="20"/>
              </w:rPr>
            </w:pPr>
            <w:r>
              <w:rPr>
                <w:b/>
                <w:sz w:val="20"/>
              </w:rPr>
              <w:t>107892</w:t>
            </w:r>
          </w:p>
        </w:tc>
        <w:tc>
          <w:tcPr>
            <w:tcW w:w="1834" w:type="dxa"/>
          </w:tcPr>
          <w:p w14:paraId="2334E008" w14:textId="77777777" w:rsidR="001D3FFC" w:rsidRDefault="00C0742E">
            <w:pPr>
              <w:pStyle w:val="TableParagraph"/>
              <w:ind w:left="355" w:right="399"/>
              <w:rPr>
                <w:sz w:val="20"/>
              </w:rPr>
            </w:pPr>
            <w:r>
              <w:rPr>
                <w:sz w:val="20"/>
              </w:rPr>
              <w:t>139026</w:t>
            </w:r>
          </w:p>
        </w:tc>
        <w:tc>
          <w:tcPr>
            <w:tcW w:w="2854" w:type="dxa"/>
          </w:tcPr>
          <w:p w14:paraId="3E835F1C" w14:textId="77777777" w:rsidR="001D3FFC" w:rsidRDefault="00C0742E">
            <w:pPr>
              <w:pStyle w:val="TableParagraph"/>
              <w:ind w:left="672" w:right="719"/>
              <w:rPr>
                <w:b/>
                <w:sz w:val="20"/>
              </w:rPr>
            </w:pPr>
            <w:r>
              <w:rPr>
                <w:b/>
                <w:sz w:val="20"/>
              </w:rPr>
              <w:t>–22,4 %</w:t>
            </w:r>
          </w:p>
        </w:tc>
      </w:tr>
      <w:tr w:rsidR="001D3FFC" w14:paraId="41811AA8" w14:textId="77777777">
        <w:trPr>
          <w:trHeight w:val="532"/>
        </w:trPr>
        <w:tc>
          <w:tcPr>
            <w:tcW w:w="2105" w:type="dxa"/>
          </w:tcPr>
          <w:p w14:paraId="69BFA9BC" w14:textId="77777777" w:rsidR="001D3FFC" w:rsidRDefault="00C0742E">
            <w:pPr>
              <w:pStyle w:val="TableParagraph"/>
              <w:ind w:left="213"/>
              <w:jc w:val="left"/>
              <w:rPr>
                <w:b/>
                <w:sz w:val="20"/>
              </w:rPr>
            </w:pPr>
            <w:r>
              <w:rPr>
                <w:b/>
                <w:sz w:val="20"/>
              </w:rPr>
              <w:t>- Francija</w:t>
            </w:r>
          </w:p>
        </w:tc>
        <w:tc>
          <w:tcPr>
            <w:tcW w:w="1981" w:type="dxa"/>
          </w:tcPr>
          <w:p w14:paraId="78DF8E6D" w14:textId="77777777" w:rsidR="001D3FFC" w:rsidRDefault="00C0742E">
            <w:pPr>
              <w:pStyle w:val="TableParagraph"/>
              <w:ind w:right="450"/>
              <w:rPr>
                <w:b/>
                <w:sz w:val="20"/>
              </w:rPr>
            </w:pPr>
            <w:r>
              <w:rPr>
                <w:b/>
                <w:sz w:val="20"/>
              </w:rPr>
              <w:t>45728</w:t>
            </w:r>
          </w:p>
        </w:tc>
        <w:tc>
          <w:tcPr>
            <w:tcW w:w="1834" w:type="dxa"/>
          </w:tcPr>
          <w:p w14:paraId="3367D27A" w14:textId="77777777" w:rsidR="001D3FFC" w:rsidRDefault="00C0742E">
            <w:pPr>
              <w:pStyle w:val="TableParagraph"/>
              <w:ind w:left="355" w:right="401"/>
              <w:rPr>
                <w:sz w:val="20"/>
              </w:rPr>
            </w:pPr>
            <w:r>
              <w:rPr>
                <w:sz w:val="20"/>
              </w:rPr>
              <w:t>58241</w:t>
            </w:r>
          </w:p>
        </w:tc>
        <w:tc>
          <w:tcPr>
            <w:tcW w:w="2854" w:type="dxa"/>
          </w:tcPr>
          <w:p w14:paraId="310254EF" w14:textId="77777777" w:rsidR="001D3FFC" w:rsidRDefault="00C0742E">
            <w:pPr>
              <w:pStyle w:val="TableParagraph"/>
              <w:ind w:left="672" w:right="719"/>
              <w:rPr>
                <w:b/>
                <w:sz w:val="20"/>
              </w:rPr>
            </w:pPr>
            <w:r>
              <w:rPr>
                <w:b/>
                <w:sz w:val="20"/>
              </w:rPr>
              <w:t>–21,5 %</w:t>
            </w:r>
          </w:p>
        </w:tc>
      </w:tr>
      <w:tr w:rsidR="001D3FFC" w14:paraId="3F1D385E" w14:textId="77777777">
        <w:trPr>
          <w:trHeight w:val="534"/>
        </w:trPr>
        <w:tc>
          <w:tcPr>
            <w:tcW w:w="2105" w:type="dxa"/>
          </w:tcPr>
          <w:p w14:paraId="10E883F6" w14:textId="77777777" w:rsidR="001D3FFC" w:rsidRDefault="00C0742E">
            <w:pPr>
              <w:pStyle w:val="TableParagraph"/>
              <w:ind w:left="213"/>
              <w:jc w:val="left"/>
              <w:rPr>
                <w:b/>
                <w:sz w:val="20"/>
              </w:rPr>
            </w:pPr>
            <w:r>
              <w:rPr>
                <w:b/>
                <w:sz w:val="20"/>
              </w:rPr>
              <w:t>- Italija</w:t>
            </w:r>
          </w:p>
        </w:tc>
        <w:tc>
          <w:tcPr>
            <w:tcW w:w="1981" w:type="dxa"/>
          </w:tcPr>
          <w:p w14:paraId="431B418B" w14:textId="77777777" w:rsidR="001D3FFC" w:rsidRDefault="00C0742E">
            <w:pPr>
              <w:pStyle w:val="TableParagraph"/>
              <w:ind w:right="450"/>
              <w:rPr>
                <w:b/>
                <w:sz w:val="20"/>
              </w:rPr>
            </w:pPr>
            <w:r>
              <w:rPr>
                <w:b/>
                <w:sz w:val="20"/>
              </w:rPr>
              <w:t>50060</w:t>
            </w:r>
          </w:p>
        </w:tc>
        <w:tc>
          <w:tcPr>
            <w:tcW w:w="1834" w:type="dxa"/>
          </w:tcPr>
          <w:p w14:paraId="07AE4EC9" w14:textId="77777777" w:rsidR="001D3FFC" w:rsidRDefault="00C0742E">
            <w:pPr>
              <w:pStyle w:val="TableParagraph"/>
              <w:ind w:left="355" w:right="401"/>
              <w:rPr>
                <w:sz w:val="20"/>
              </w:rPr>
            </w:pPr>
            <w:r>
              <w:rPr>
                <w:sz w:val="20"/>
              </w:rPr>
              <w:t>64056</w:t>
            </w:r>
          </w:p>
        </w:tc>
        <w:tc>
          <w:tcPr>
            <w:tcW w:w="2854" w:type="dxa"/>
          </w:tcPr>
          <w:p w14:paraId="45112DF7" w14:textId="77777777" w:rsidR="001D3FFC" w:rsidRDefault="00C0742E">
            <w:pPr>
              <w:pStyle w:val="TableParagraph"/>
              <w:ind w:left="672" w:right="719"/>
              <w:rPr>
                <w:b/>
                <w:sz w:val="20"/>
              </w:rPr>
            </w:pPr>
            <w:r>
              <w:rPr>
                <w:b/>
                <w:sz w:val="20"/>
              </w:rPr>
              <w:t>–21,8 %</w:t>
            </w:r>
          </w:p>
        </w:tc>
      </w:tr>
      <w:tr w:rsidR="001D3FFC" w14:paraId="324CF7ED" w14:textId="77777777">
        <w:trPr>
          <w:trHeight w:val="532"/>
        </w:trPr>
        <w:tc>
          <w:tcPr>
            <w:tcW w:w="2105" w:type="dxa"/>
          </w:tcPr>
          <w:p w14:paraId="5F084D9B" w14:textId="77777777" w:rsidR="001D3FFC" w:rsidRDefault="00C0742E">
            <w:pPr>
              <w:pStyle w:val="TableParagraph"/>
              <w:ind w:left="213"/>
              <w:jc w:val="left"/>
              <w:rPr>
                <w:b/>
                <w:sz w:val="20"/>
              </w:rPr>
            </w:pPr>
            <w:r>
              <w:rPr>
                <w:b/>
                <w:sz w:val="20"/>
              </w:rPr>
              <w:t>- Španija</w:t>
            </w:r>
          </w:p>
        </w:tc>
        <w:tc>
          <w:tcPr>
            <w:tcW w:w="1981" w:type="dxa"/>
          </w:tcPr>
          <w:p w14:paraId="5C961CE2" w14:textId="77777777" w:rsidR="001D3FFC" w:rsidRDefault="00C0742E">
            <w:pPr>
              <w:pStyle w:val="TableParagraph"/>
              <w:ind w:right="450"/>
              <w:rPr>
                <w:b/>
                <w:sz w:val="20"/>
              </w:rPr>
            </w:pPr>
            <w:r>
              <w:rPr>
                <w:b/>
                <w:sz w:val="20"/>
              </w:rPr>
              <w:t>37284</w:t>
            </w:r>
          </w:p>
        </w:tc>
        <w:tc>
          <w:tcPr>
            <w:tcW w:w="1834" w:type="dxa"/>
          </w:tcPr>
          <w:p w14:paraId="05DEE152" w14:textId="77777777" w:rsidR="001D3FFC" w:rsidRDefault="00C0742E">
            <w:pPr>
              <w:pStyle w:val="TableParagraph"/>
              <w:ind w:left="355" w:right="401"/>
              <w:rPr>
                <w:sz w:val="20"/>
              </w:rPr>
            </w:pPr>
            <w:r>
              <w:rPr>
                <w:sz w:val="20"/>
              </w:rPr>
              <w:t>50904</w:t>
            </w:r>
          </w:p>
        </w:tc>
        <w:tc>
          <w:tcPr>
            <w:tcW w:w="2854" w:type="dxa"/>
          </w:tcPr>
          <w:p w14:paraId="5276CAC0" w14:textId="77777777" w:rsidR="001D3FFC" w:rsidRDefault="00C0742E">
            <w:pPr>
              <w:pStyle w:val="TableParagraph"/>
              <w:ind w:left="672" w:right="719"/>
              <w:rPr>
                <w:b/>
                <w:sz w:val="20"/>
              </w:rPr>
            </w:pPr>
            <w:r>
              <w:rPr>
                <w:b/>
                <w:sz w:val="20"/>
              </w:rPr>
              <w:t>–26,8 %</w:t>
            </w:r>
          </w:p>
        </w:tc>
      </w:tr>
      <w:tr w:rsidR="001D3FFC" w14:paraId="6BEB9ADD" w14:textId="77777777">
        <w:trPr>
          <w:trHeight w:val="534"/>
        </w:trPr>
        <w:tc>
          <w:tcPr>
            <w:tcW w:w="2105" w:type="dxa"/>
          </w:tcPr>
          <w:p w14:paraId="4DD00036" w14:textId="77777777" w:rsidR="001D3FFC" w:rsidRDefault="00C0742E">
            <w:pPr>
              <w:pStyle w:val="TableParagraph"/>
              <w:ind w:left="71"/>
              <w:jc w:val="left"/>
              <w:rPr>
                <w:b/>
                <w:sz w:val="20"/>
              </w:rPr>
            </w:pPr>
            <w:r>
              <w:rPr>
                <w:b/>
                <w:sz w:val="20"/>
              </w:rPr>
              <w:t>ZDA</w:t>
            </w:r>
          </w:p>
        </w:tc>
        <w:tc>
          <w:tcPr>
            <w:tcW w:w="1981" w:type="dxa"/>
          </w:tcPr>
          <w:p w14:paraId="3FA4EB8A" w14:textId="77777777" w:rsidR="001D3FFC" w:rsidRDefault="00C0742E">
            <w:pPr>
              <w:pStyle w:val="TableParagraph"/>
              <w:ind w:right="453"/>
              <w:rPr>
                <w:b/>
                <w:sz w:val="20"/>
              </w:rPr>
            </w:pPr>
            <w:r>
              <w:rPr>
                <w:b/>
                <w:sz w:val="20"/>
              </w:rPr>
              <w:t>186620</w:t>
            </w:r>
          </w:p>
        </w:tc>
        <w:tc>
          <w:tcPr>
            <w:tcW w:w="1834" w:type="dxa"/>
          </w:tcPr>
          <w:p w14:paraId="34ECD165" w14:textId="77777777" w:rsidR="001D3FFC" w:rsidRDefault="00C0742E">
            <w:pPr>
              <w:pStyle w:val="TableParagraph"/>
              <w:ind w:left="355" w:right="399"/>
              <w:rPr>
                <w:sz w:val="20"/>
              </w:rPr>
            </w:pPr>
            <w:r>
              <w:rPr>
                <w:sz w:val="20"/>
              </w:rPr>
              <w:t>224111</w:t>
            </w:r>
          </w:p>
        </w:tc>
        <w:tc>
          <w:tcPr>
            <w:tcW w:w="2854" w:type="dxa"/>
          </w:tcPr>
          <w:p w14:paraId="7C29D55F" w14:textId="77777777" w:rsidR="001D3FFC" w:rsidRDefault="00C0742E">
            <w:pPr>
              <w:pStyle w:val="TableParagraph"/>
              <w:ind w:left="672" w:right="719"/>
              <w:rPr>
                <w:b/>
                <w:sz w:val="20"/>
              </w:rPr>
            </w:pPr>
            <w:r>
              <w:rPr>
                <w:b/>
                <w:sz w:val="20"/>
              </w:rPr>
              <w:t>–16,7 %</w:t>
            </w:r>
          </w:p>
        </w:tc>
      </w:tr>
      <w:tr w:rsidR="001D3FFC" w14:paraId="4270948D" w14:textId="77777777">
        <w:trPr>
          <w:trHeight w:val="532"/>
        </w:trPr>
        <w:tc>
          <w:tcPr>
            <w:tcW w:w="2105" w:type="dxa"/>
          </w:tcPr>
          <w:p w14:paraId="48A10C24" w14:textId="77777777" w:rsidR="001D3FFC" w:rsidRDefault="00C0742E">
            <w:pPr>
              <w:pStyle w:val="TableParagraph"/>
              <w:ind w:left="71"/>
              <w:jc w:val="left"/>
              <w:rPr>
                <w:b/>
                <w:sz w:val="20"/>
              </w:rPr>
            </w:pPr>
            <w:r>
              <w:rPr>
                <w:b/>
                <w:sz w:val="20"/>
              </w:rPr>
              <w:t>Mehika</w:t>
            </w:r>
          </w:p>
        </w:tc>
        <w:tc>
          <w:tcPr>
            <w:tcW w:w="1981" w:type="dxa"/>
          </w:tcPr>
          <w:p w14:paraId="655BA4A8" w14:textId="77777777" w:rsidR="001D3FFC" w:rsidRDefault="00C0742E">
            <w:pPr>
              <w:pStyle w:val="TableParagraph"/>
              <w:ind w:right="450"/>
              <w:rPr>
                <w:b/>
                <w:sz w:val="20"/>
              </w:rPr>
            </w:pPr>
            <w:r>
              <w:rPr>
                <w:b/>
                <w:sz w:val="20"/>
              </w:rPr>
              <w:t>9834</w:t>
            </w:r>
          </w:p>
        </w:tc>
        <w:tc>
          <w:tcPr>
            <w:tcW w:w="1834" w:type="dxa"/>
          </w:tcPr>
          <w:p w14:paraId="07C8AA3C" w14:textId="77777777" w:rsidR="001D3FFC" w:rsidRDefault="00C0742E">
            <w:pPr>
              <w:pStyle w:val="TableParagraph"/>
              <w:ind w:left="355" w:right="401"/>
              <w:rPr>
                <w:sz w:val="20"/>
              </w:rPr>
            </w:pPr>
            <w:r>
              <w:rPr>
                <w:sz w:val="20"/>
              </w:rPr>
              <w:t>12458</w:t>
            </w:r>
          </w:p>
        </w:tc>
        <w:tc>
          <w:tcPr>
            <w:tcW w:w="2854" w:type="dxa"/>
          </w:tcPr>
          <w:p w14:paraId="3837742C" w14:textId="77777777" w:rsidR="001D3FFC" w:rsidRDefault="00C0742E">
            <w:pPr>
              <w:pStyle w:val="TableParagraph"/>
              <w:ind w:left="672" w:right="719"/>
              <w:rPr>
                <w:b/>
                <w:sz w:val="20"/>
              </w:rPr>
            </w:pPr>
            <w:r>
              <w:rPr>
                <w:b/>
                <w:sz w:val="20"/>
              </w:rPr>
              <w:t>–21,1 %</w:t>
            </w:r>
          </w:p>
        </w:tc>
      </w:tr>
      <w:tr w:rsidR="001D3FFC" w14:paraId="273D2BF0" w14:textId="77777777">
        <w:trPr>
          <w:trHeight w:val="534"/>
        </w:trPr>
        <w:tc>
          <w:tcPr>
            <w:tcW w:w="2105" w:type="dxa"/>
          </w:tcPr>
          <w:p w14:paraId="73FFB385" w14:textId="77777777" w:rsidR="001D3FFC" w:rsidRDefault="00C0742E">
            <w:pPr>
              <w:pStyle w:val="TableParagraph"/>
              <w:ind w:left="71"/>
              <w:jc w:val="left"/>
              <w:rPr>
                <w:b/>
                <w:sz w:val="20"/>
              </w:rPr>
            </w:pPr>
            <w:r>
              <w:rPr>
                <w:b/>
                <w:sz w:val="20"/>
              </w:rPr>
              <w:t>Brazilija</w:t>
            </w:r>
          </w:p>
        </w:tc>
        <w:tc>
          <w:tcPr>
            <w:tcW w:w="1981" w:type="dxa"/>
          </w:tcPr>
          <w:p w14:paraId="3396EE67" w14:textId="77777777" w:rsidR="001D3FFC" w:rsidRDefault="00C0742E">
            <w:pPr>
              <w:pStyle w:val="TableParagraph"/>
              <w:ind w:right="450"/>
              <w:rPr>
                <w:b/>
                <w:sz w:val="20"/>
              </w:rPr>
            </w:pPr>
            <w:r>
              <w:rPr>
                <w:b/>
                <w:sz w:val="20"/>
              </w:rPr>
              <w:t>6680</w:t>
            </w:r>
          </w:p>
        </w:tc>
        <w:tc>
          <w:tcPr>
            <w:tcW w:w="1834" w:type="dxa"/>
          </w:tcPr>
          <w:p w14:paraId="4044AD46" w14:textId="77777777" w:rsidR="001D3FFC" w:rsidRDefault="00C0742E">
            <w:pPr>
              <w:pStyle w:val="TableParagraph"/>
              <w:ind w:left="355" w:right="399"/>
              <w:rPr>
                <w:sz w:val="20"/>
              </w:rPr>
            </w:pPr>
            <w:r>
              <w:rPr>
                <w:sz w:val="20"/>
              </w:rPr>
              <w:t>8269</w:t>
            </w:r>
          </w:p>
        </w:tc>
        <w:tc>
          <w:tcPr>
            <w:tcW w:w="2854" w:type="dxa"/>
          </w:tcPr>
          <w:p w14:paraId="25B837B0" w14:textId="77777777" w:rsidR="001D3FFC" w:rsidRDefault="00C0742E">
            <w:pPr>
              <w:pStyle w:val="TableParagraph"/>
              <w:ind w:left="672" w:right="719"/>
              <w:rPr>
                <w:b/>
                <w:sz w:val="20"/>
              </w:rPr>
            </w:pPr>
            <w:r>
              <w:rPr>
                <w:b/>
                <w:sz w:val="20"/>
              </w:rPr>
              <w:t>–19,2 %</w:t>
            </w:r>
          </w:p>
        </w:tc>
      </w:tr>
      <w:tr w:rsidR="001D3FFC" w14:paraId="192D882B" w14:textId="77777777">
        <w:trPr>
          <w:trHeight w:val="983"/>
        </w:trPr>
        <w:tc>
          <w:tcPr>
            <w:tcW w:w="2105" w:type="dxa"/>
          </w:tcPr>
          <w:p w14:paraId="70CB5739" w14:textId="77777777" w:rsidR="001D3FFC" w:rsidRDefault="00C0742E">
            <w:pPr>
              <w:pStyle w:val="TableParagraph"/>
              <w:spacing w:before="18" w:line="320" w:lineRule="atLeast"/>
              <w:ind w:left="71" w:right="122"/>
              <w:jc w:val="left"/>
              <w:rPr>
                <w:b/>
                <w:sz w:val="20"/>
              </w:rPr>
            </w:pPr>
            <w:r>
              <w:rPr>
                <w:b/>
                <w:sz w:val="20"/>
              </w:rPr>
              <w:t>Celinska Kitajska + Hongkong</w:t>
            </w:r>
          </w:p>
        </w:tc>
        <w:tc>
          <w:tcPr>
            <w:tcW w:w="1981" w:type="dxa"/>
          </w:tcPr>
          <w:p w14:paraId="43DE1906" w14:textId="77777777" w:rsidR="001D3FFC" w:rsidRDefault="00C0742E">
            <w:pPr>
              <w:pStyle w:val="TableParagraph"/>
              <w:ind w:right="453"/>
              <w:rPr>
                <w:b/>
                <w:sz w:val="20"/>
              </w:rPr>
            </w:pPr>
            <w:r>
              <w:rPr>
                <w:b/>
                <w:sz w:val="20"/>
              </w:rPr>
              <w:t>727358</w:t>
            </w:r>
          </w:p>
        </w:tc>
        <w:tc>
          <w:tcPr>
            <w:tcW w:w="1834" w:type="dxa"/>
          </w:tcPr>
          <w:p w14:paraId="3A72C3A3" w14:textId="77777777" w:rsidR="001D3FFC" w:rsidRDefault="00C0742E">
            <w:pPr>
              <w:pStyle w:val="TableParagraph"/>
              <w:ind w:left="353" w:right="402"/>
              <w:rPr>
                <w:sz w:val="20"/>
              </w:rPr>
            </w:pPr>
            <w:r>
              <w:rPr>
                <w:sz w:val="20"/>
              </w:rPr>
              <w:t>690083</w:t>
            </w:r>
          </w:p>
        </w:tc>
        <w:tc>
          <w:tcPr>
            <w:tcW w:w="2854" w:type="dxa"/>
          </w:tcPr>
          <w:p w14:paraId="5FC8107D" w14:textId="77777777" w:rsidR="001D3FFC" w:rsidRDefault="00C0742E">
            <w:pPr>
              <w:pStyle w:val="TableParagraph"/>
              <w:ind w:left="672" w:right="724"/>
              <w:rPr>
                <w:b/>
                <w:sz w:val="20"/>
              </w:rPr>
            </w:pPr>
            <w:r>
              <w:rPr>
                <w:b/>
                <w:sz w:val="20"/>
              </w:rPr>
              <w:t>+5,4 %</w:t>
            </w:r>
          </w:p>
        </w:tc>
      </w:tr>
    </w:tbl>
    <w:p w14:paraId="02CD9DA9" w14:textId="77777777" w:rsidR="001D3FFC" w:rsidRDefault="001D3FFC">
      <w:pPr>
        <w:pStyle w:val="Telobesedila"/>
        <w:spacing w:before="4"/>
        <w:rPr>
          <w:sz w:val="25"/>
        </w:rPr>
      </w:pPr>
    </w:p>
    <w:p w14:paraId="25260D2D" w14:textId="77777777" w:rsidR="001D3FFC" w:rsidRDefault="00C0742E">
      <w:pPr>
        <w:pStyle w:val="Naslov1"/>
        <w:spacing w:before="113" w:line="300" w:lineRule="auto"/>
      </w:pPr>
      <w:r>
        <w:t>Obvestilo za uredništva: finančni podatki za poslovno leto 2020 bodo predstavljeni na digitalni letni tiskovni konferenci, ki bo 18. marca 2021.</w:t>
      </w:r>
    </w:p>
    <w:p w14:paraId="3FD43458" w14:textId="77777777" w:rsidR="001D3FFC" w:rsidRDefault="001D3FFC">
      <w:pPr>
        <w:pStyle w:val="Telobesedila"/>
        <w:rPr>
          <w:b/>
        </w:rPr>
      </w:pPr>
    </w:p>
    <w:p w14:paraId="4AE8D8E7" w14:textId="77777777" w:rsidR="001D3FFC" w:rsidRDefault="001D3FFC">
      <w:pPr>
        <w:pStyle w:val="Telobesedila"/>
        <w:rPr>
          <w:b/>
          <w:sz w:val="29"/>
        </w:rPr>
      </w:pPr>
    </w:p>
    <w:tbl>
      <w:tblPr>
        <w:tblStyle w:val="TableNormal"/>
        <w:tblW w:w="0" w:type="auto"/>
        <w:tblInd w:w="125" w:type="dxa"/>
        <w:tblLayout w:type="fixed"/>
        <w:tblLook w:val="01E0" w:firstRow="1" w:lastRow="1" w:firstColumn="1" w:lastColumn="1" w:noHBand="0" w:noVBand="0"/>
      </w:tblPr>
      <w:tblGrid>
        <w:gridCol w:w="4369"/>
        <w:gridCol w:w="4544"/>
      </w:tblGrid>
      <w:tr w:rsidR="001D3FFC" w14:paraId="24A6821D" w14:textId="77777777">
        <w:trPr>
          <w:trHeight w:val="2053"/>
        </w:trPr>
        <w:tc>
          <w:tcPr>
            <w:tcW w:w="4369" w:type="dxa"/>
          </w:tcPr>
          <w:p w14:paraId="61D5F3F4" w14:textId="77777777" w:rsidR="001D3FFC" w:rsidRDefault="00C0742E">
            <w:pPr>
              <w:pStyle w:val="TableParagraph"/>
              <w:spacing w:before="13"/>
              <w:ind w:left="200"/>
              <w:jc w:val="left"/>
              <w:rPr>
                <w:b/>
                <w:sz w:val="20"/>
              </w:rPr>
            </w:pPr>
            <w:r>
              <w:rPr>
                <w:b/>
                <w:sz w:val="20"/>
              </w:rPr>
              <w:t>Korporativno komuniciranje</w:t>
            </w:r>
          </w:p>
          <w:p w14:paraId="67FCAFE7" w14:textId="77777777" w:rsidR="001D3FFC" w:rsidRDefault="00C0742E">
            <w:pPr>
              <w:pStyle w:val="TableParagraph"/>
              <w:spacing w:before="60"/>
              <w:ind w:left="200"/>
              <w:jc w:val="left"/>
              <w:rPr>
                <w:sz w:val="20"/>
              </w:rPr>
            </w:pPr>
            <w:r>
              <w:rPr>
                <w:sz w:val="20"/>
              </w:rPr>
              <w:t xml:space="preserve">Thomas </w:t>
            </w:r>
            <w:proofErr w:type="spellStart"/>
            <w:r>
              <w:rPr>
                <w:sz w:val="20"/>
              </w:rPr>
              <w:t>Tacke</w:t>
            </w:r>
            <w:proofErr w:type="spellEnd"/>
          </w:p>
          <w:p w14:paraId="63F53012" w14:textId="77777777" w:rsidR="001D3FFC" w:rsidRDefault="00C0742E">
            <w:pPr>
              <w:pStyle w:val="TableParagraph"/>
              <w:spacing w:before="60" w:line="300" w:lineRule="auto"/>
              <w:ind w:left="200"/>
              <w:jc w:val="left"/>
              <w:rPr>
                <w:sz w:val="20"/>
              </w:rPr>
            </w:pPr>
            <w:r>
              <w:rPr>
                <w:sz w:val="20"/>
              </w:rPr>
              <w:t xml:space="preserve">Tiskovni predstavnik za prodajo in marketing </w:t>
            </w:r>
            <w:r>
              <w:rPr>
                <w:sz w:val="20"/>
              </w:rPr>
              <w:br/>
              <w:t>Telefon: +49 841 89-42693</w:t>
            </w:r>
          </w:p>
          <w:p w14:paraId="504205BE" w14:textId="77777777" w:rsidR="001D3FFC" w:rsidRDefault="00C0742E">
            <w:pPr>
              <w:pStyle w:val="TableParagraph"/>
              <w:spacing w:before="0" w:line="300" w:lineRule="auto"/>
              <w:ind w:left="200" w:right="1116"/>
              <w:jc w:val="left"/>
              <w:rPr>
                <w:sz w:val="20"/>
              </w:rPr>
            </w:pPr>
            <w:r>
              <w:rPr>
                <w:sz w:val="20"/>
              </w:rPr>
              <w:t xml:space="preserve">E-mail: </w:t>
            </w:r>
            <w:hyperlink r:id="rId9">
              <w:r>
                <w:rPr>
                  <w:color w:val="0000FF"/>
                  <w:sz w:val="20"/>
                  <w:u w:val="single" w:color="0000FF"/>
                </w:rPr>
                <w:t>thomas1.tacke@audi.de</w:t>
              </w:r>
            </w:hyperlink>
            <w:r>
              <w:rPr>
                <w:color w:val="0000FF"/>
                <w:sz w:val="20"/>
              </w:rPr>
              <w:t xml:space="preserve"> </w:t>
            </w:r>
            <w:hyperlink r:id="rId10">
              <w:r>
                <w:rPr>
                  <w:color w:val="0000FF"/>
                  <w:sz w:val="20"/>
                  <w:u w:val="single" w:color="0000FF"/>
                </w:rPr>
                <w:t>www.audi-mediacenter.com/de</w:t>
              </w:r>
            </w:hyperlink>
          </w:p>
        </w:tc>
        <w:tc>
          <w:tcPr>
            <w:tcW w:w="4544" w:type="dxa"/>
          </w:tcPr>
          <w:p w14:paraId="0FE336BF" w14:textId="77777777" w:rsidR="001D3FFC" w:rsidRDefault="00C0742E">
            <w:pPr>
              <w:pStyle w:val="TableParagraph"/>
              <w:spacing w:before="13"/>
              <w:ind w:left="514"/>
              <w:jc w:val="left"/>
              <w:rPr>
                <w:b/>
                <w:sz w:val="20"/>
              </w:rPr>
            </w:pPr>
            <w:r>
              <w:rPr>
                <w:b/>
                <w:sz w:val="20"/>
              </w:rPr>
              <w:t>Korporativno komuniciranje</w:t>
            </w:r>
          </w:p>
          <w:p w14:paraId="1AB8065F" w14:textId="77777777" w:rsidR="001D3FFC" w:rsidRDefault="00C0742E">
            <w:pPr>
              <w:pStyle w:val="TableParagraph"/>
              <w:spacing w:before="60"/>
              <w:ind w:left="514"/>
              <w:jc w:val="left"/>
              <w:rPr>
                <w:sz w:val="20"/>
              </w:rPr>
            </w:pPr>
            <w:r>
              <w:rPr>
                <w:sz w:val="20"/>
              </w:rPr>
              <w:t xml:space="preserve">Sina </w:t>
            </w:r>
            <w:proofErr w:type="spellStart"/>
            <w:r>
              <w:rPr>
                <w:sz w:val="20"/>
              </w:rPr>
              <w:t>Clemendt</w:t>
            </w:r>
            <w:proofErr w:type="spellEnd"/>
          </w:p>
          <w:p w14:paraId="20D91AD8" w14:textId="77777777" w:rsidR="001D3FFC" w:rsidRDefault="00C0742E">
            <w:pPr>
              <w:pStyle w:val="TableParagraph"/>
              <w:spacing w:before="60" w:line="300" w:lineRule="auto"/>
              <w:ind w:left="514"/>
              <w:jc w:val="left"/>
              <w:rPr>
                <w:sz w:val="20"/>
              </w:rPr>
            </w:pPr>
            <w:r>
              <w:rPr>
                <w:sz w:val="20"/>
              </w:rPr>
              <w:t xml:space="preserve">Tiskovna predstavnica za prodajo in marketing </w:t>
            </w:r>
            <w:r>
              <w:rPr>
                <w:sz w:val="20"/>
              </w:rPr>
              <w:br/>
              <w:t>Telefon: +49 841 89-46126</w:t>
            </w:r>
          </w:p>
          <w:p w14:paraId="43E78A04" w14:textId="77777777" w:rsidR="001D3FFC" w:rsidRDefault="00C0742E">
            <w:pPr>
              <w:pStyle w:val="TableParagraph"/>
              <w:spacing w:before="0"/>
              <w:ind w:left="514"/>
              <w:jc w:val="left"/>
              <w:rPr>
                <w:sz w:val="20"/>
              </w:rPr>
            </w:pPr>
            <w:r>
              <w:rPr>
                <w:sz w:val="20"/>
              </w:rPr>
              <w:t xml:space="preserve">E-mail: </w:t>
            </w:r>
            <w:hyperlink r:id="rId11">
              <w:r>
                <w:rPr>
                  <w:color w:val="0000FF"/>
                  <w:sz w:val="20"/>
                  <w:u w:val="single" w:color="0000FF"/>
                </w:rPr>
                <w:t>sina.clemendt@audi.de</w:t>
              </w:r>
            </w:hyperlink>
          </w:p>
        </w:tc>
      </w:tr>
      <w:tr w:rsidR="001D3FFC" w14:paraId="486DFF77" w14:textId="77777777">
        <w:trPr>
          <w:trHeight w:val="790"/>
        </w:trPr>
        <w:tc>
          <w:tcPr>
            <w:tcW w:w="4369" w:type="dxa"/>
          </w:tcPr>
          <w:p w14:paraId="22DA5107" w14:textId="77777777" w:rsidR="001D3FFC" w:rsidRDefault="001D3FFC">
            <w:pPr>
              <w:pStyle w:val="TableParagraph"/>
              <w:spacing w:before="10"/>
              <w:ind w:left="0"/>
              <w:jc w:val="left"/>
              <w:rPr>
                <w:b/>
                <w:sz w:val="25"/>
              </w:rPr>
            </w:pPr>
          </w:p>
          <w:p w14:paraId="2C633FC1" w14:textId="77777777" w:rsidR="001D3FFC" w:rsidRDefault="00C0742E">
            <w:pPr>
              <w:pStyle w:val="TableParagraph"/>
              <w:spacing w:before="0"/>
              <w:ind w:left="200"/>
              <w:jc w:val="left"/>
              <w:rPr>
                <w:sz w:val="20"/>
              </w:rPr>
            </w:pPr>
            <w:r>
              <w:rPr>
                <w:noProof/>
                <w:sz w:val="20"/>
              </w:rPr>
              <w:drawing>
                <wp:inline distT="0" distB="0" distL="0" distR="0" wp14:anchorId="7F7C890F" wp14:editId="67A2FC68">
                  <wp:extent cx="1495935" cy="3017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495935" cy="301752"/>
                          </a:xfrm>
                          <a:prstGeom prst="rect">
                            <a:avLst/>
                          </a:prstGeom>
                        </pic:spPr>
                      </pic:pic>
                    </a:graphicData>
                  </a:graphic>
                </wp:inline>
              </w:drawing>
            </w:r>
          </w:p>
        </w:tc>
        <w:tc>
          <w:tcPr>
            <w:tcW w:w="4544" w:type="dxa"/>
          </w:tcPr>
          <w:p w14:paraId="76918A27" w14:textId="77777777" w:rsidR="001D3FFC" w:rsidRDefault="001D3FFC">
            <w:pPr>
              <w:pStyle w:val="TableParagraph"/>
              <w:spacing w:before="0"/>
              <w:ind w:left="0"/>
              <w:jc w:val="left"/>
              <w:rPr>
                <w:rFonts w:ascii="Times New Roman"/>
                <w:sz w:val="20"/>
              </w:rPr>
            </w:pPr>
          </w:p>
        </w:tc>
      </w:tr>
    </w:tbl>
    <w:p w14:paraId="3EEE5777" w14:textId="77777777" w:rsidR="001D3FFC" w:rsidRDefault="001D3FFC">
      <w:pPr>
        <w:rPr>
          <w:rFonts w:ascii="Times New Roman"/>
          <w:sz w:val="20"/>
        </w:rPr>
        <w:sectPr w:rsidR="001D3FFC">
          <w:pgSz w:w="11910" w:h="16840"/>
          <w:pgMar w:top="1660" w:right="1300" w:bottom="460" w:left="1100" w:header="804" w:footer="262" w:gutter="0"/>
          <w:cols w:space="708"/>
        </w:sectPr>
      </w:pPr>
    </w:p>
    <w:p w14:paraId="589E44E6" w14:textId="77777777" w:rsidR="001D3FFC" w:rsidRDefault="001D3FFC">
      <w:pPr>
        <w:pStyle w:val="Telobesedila"/>
        <w:rPr>
          <w:b/>
        </w:rPr>
      </w:pPr>
    </w:p>
    <w:p w14:paraId="4AC60F22" w14:textId="77777777" w:rsidR="001D3FFC" w:rsidRDefault="001D3FFC">
      <w:pPr>
        <w:pStyle w:val="Telobesedila"/>
        <w:spacing w:before="6"/>
        <w:rPr>
          <w:b/>
          <w:sz w:val="29"/>
        </w:rPr>
      </w:pPr>
    </w:p>
    <w:p w14:paraId="2B3F748D" w14:textId="77777777" w:rsidR="001D3FFC" w:rsidRDefault="00A61CB3">
      <w:pPr>
        <w:pStyle w:val="Telobesedila"/>
        <w:spacing w:line="20" w:lineRule="exact"/>
        <w:ind w:left="318"/>
        <w:rPr>
          <w:sz w:val="2"/>
        </w:rPr>
      </w:pPr>
      <w:r>
        <w:rPr>
          <w:sz w:val="2"/>
        </w:rPr>
      </w:r>
      <w:r>
        <w:rPr>
          <w:sz w:val="2"/>
        </w:rPr>
        <w:pict w14:anchorId="689CDEE4">
          <v:group id="_x0000_s1027" style="width:453.35pt;height:.5pt;mso-position-horizontal-relative:char;mso-position-vertical-relative:line" coordsize="9067,10">
            <v:rect id="_x0000_s1028" style="position:absolute;width:9067;height:10" fillcolor="black" stroked="f"/>
            <w10:anchorlock/>
          </v:group>
        </w:pict>
      </w:r>
    </w:p>
    <w:p w14:paraId="3C671FF6" w14:textId="03653383" w:rsidR="001D3FFC" w:rsidRPr="00F260E8" w:rsidRDefault="00C0742E">
      <w:pPr>
        <w:spacing w:before="113" w:line="244" w:lineRule="auto"/>
        <w:ind w:left="318" w:right="120"/>
        <w:jc w:val="both"/>
        <w:rPr>
          <w:rFonts w:cs="Arial"/>
          <w:sz w:val="18"/>
          <w:szCs w:val="18"/>
        </w:rPr>
      </w:pPr>
      <w:r w:rsidRPr="00F260E8">
        <w:rPr>
          <w:rFonts w:cs="Arial"/>
          <w:sz w:val="18"/>
          <w:szCs w:val="18"/>
        </w:rPr>
        <w:t xml:space="preserve">Koncern Audi je z znamkami Audi, Ducati in </w:t>
      </w:r>
      <w:proofErr w:type="spellStart"/>
      <w:r w:rsidRPr="00F260E8">
        <w:rPr>
          <w:rFonts w:cs="Arial"/>
          <w:sz w:val="18"/>
          <w:szCs w:val="18"/>
        </w:rPr>
        <w:t>Lamborghini</w:t>
      </w:r>
      <w:proofErr w:type="spellEnd"/>
      <w:r w:rsidRPr="00F260E8">
        <w:rPr>
          <w:rFonts w:cs="Arial"/>
          <w:sz w:val="18"/>
          <w:szCs w:val="18"/>
        </w:rPr>
        <w:t xml:space="preserve"> eden najuspešnejših proizvajalcev avtomobilov in motornih koles prestižnega segmenta. Prisoten je v več kot 100 državah širom po svetu in ima 17</w:t>
      </w:r>
      <w:r w:rsidR="00F260E8">
        <w:rPr>
          <w:rFonts w:cs="Arial"/>
          <w:sz w:val="18"/>
          <w:szCs w:val="18"/>
        </w:rPr>
        <w:t> </w:t>
      </w:r>
      <w:r w:rsidRPr="00F260E8">
        <w:rPr>
          <w:rFonts w:cs="Arial"/>
          <w:sz w:val="18"/>
          <w:szCs w:val="18"/>
        </w:rPr>
        <w:t xml:space="preserve">proizvodnih lokacij v 11 državah. 100-odstotne hčerinske družbe Audi AG so med drugim Audi </w:t>
      </w:r>
      <w:proofErr w:type="spellStart"/>
      <w:r w:rsidRPr="00F260E8">
        <w:rPr>
          <w:rFonts w:cs="Arial"/>
          <w:sz w:val="18"/>
          <w:szCs w:val="18"/>
        </w:rPr>
        <w:t>Sport</w:t>
      </w:r>
      <w:proofErr w:type="spellEnd"/>
      <w:r w:rsidRPr="00F260E8">
        <w:rPr>
          <w:rFonts w:cs="Arial"/>
          <w:sz w:val="18"/>
          <w:szCs w:val="18"/>
        </w:rPr>
        <w:t xml:space="preserve"> </w:t>
      </w:r>
      <w:proofErr w:type="spellStart"/>
      <w:r w:rsidRPr="00F260E8">
        <w:rPr>
          <w:rFonts w:cs="Arial"/>
          <w:sz w:val="18"/>
          <w:szCs w:val="18"/>
        </w:rPr>
        <w:t>GmbH</w:t>
      </w:r>
      <w:proofErr w:type="spellEnd"/>
      <w:r w:rsidRPr="00F260E8">
        <w:rPr>
          <w:rFonts w:cs="Arial"/>
          <w:sz w:val="18"/>
          <w:szCs w:val="18"/>
        </w:rPr>
        <w:t xml:space="preserve"> (</w:t>
      </w:r>
      <w:proofErr w:type="spellStart"/>
      <w:r w:rsidRPr="00F260E8">
        <w:rPr>
          <w:rFonts w:cs="Arial"/>
          <w:sz w:val="18"/>
          <w:szCs w:val="18"/>
        </w:rPr>
        <w:t>Neckarsulm</w:t>
      </w:r>
      <w:proofErr w:type="spellEnd"/>
      <w:r w:rsidRPr="00F260E8">
        <w:rPr>
          <w:rFonts w:cs="Arial"/>
          <w:sz w:val="18"/>
          <w:szCs w:val="18"/>
        </w:rPr>
        <w:t xml:space="preserve">/Nemčija), </w:t>
      </w:r>
      <w:proofErr w:type="spellStart"/>
      <w:r w:rsidRPr="00F260E8">
        <w:rPr>
          <w:rFonts w:cs="Arial"/>
          <w:sz w:val="18"/>
          <w:szCs w:val="18"/>
        </w:rPr>
        <w:t>Automobili</w:t>
      </w:r>
      <w:proofErr w:type="spellEnd"/>
      <w:r w:rsidRPr="00F260E8">
        <w:rPr>
          <w:rFonts w:cs="Arial"/>
          <w:sz w:val="18"/>
          <w:szCs w:val="18"/>
        </w:rPr>
        <w:t xml:space="preserve"> </w:t>
      </w:r>
      <w:proofErr w:type="spellStart"/>
      <w:r w:rsidRPr="00F260E8">
        <w:rPr>
          <w:rFonts w:cs="Arial"/>
          <w:sz w:val="18"/>
          <w:szCs w:val="18"/>
        </w:rPr>
        <w:t>Lamborghini</w:t>
      </w:r>
      <w:proofErr w:type="spellEnd"/>
      <w:r w:rsidRPr="00F260E8">
        <w:rPr>
          <w:rFonts w:cs="Arial"/>
          <w:sz w:val="18"/>
          <w:szCs w:val="18"/>
        </w:rPr>
        <w:t xml:space="preserve"> </w:t>
      </w:r>
      <w:proofErr w:type="spellStart"/>
      <w:r w:rsidRPr="00F260E8">
        <w:rPr>
          <w:rFonts w:cs="Arial"/>
          <w:sz w:val="18"/>
          <w:szCs w:val="18"/>
        </w:rPr>
        <w:t>S.p.A</w:t>
      </w:r>
      <w:proofErr w:type="spellEnd"/>
      <w:r w:rsidRPr="00F260E8">
        <w:rPr>
          <w:rFonts w:cs="Arial"/>
          <w:sz w:val="18"/>
          <w:szCs w:val="18"/>
        </w:rPr>
        <w:t>. (</w:t>
      </w:r>
      <w:proofErr w:type="spellStart"/>
      <w:r w:rsidRPr="00F260E8">
        <w:rPr>
          <w:rFonts w:cs="Arial"/>
          <w:sz w:val="18"/>
          <w:szCs w:val="18"/>
        </w:rPr>
        <w:t>Sant</w:t>
      </w:r>
      <w:proofErr w:type="spellEnd"/>
      <w:r w:rsidRPr="00F260E8">
        <w:rPr>
          <w:rFonts w:cs="Arial"/>
          <w:sz w:val="18"/>
          <w:szCs w:val="18"/>
        </w:rPr>
        <w:t xml:space="preserve">’ Agata </w:t>
      </w:r>
      <w:proofErr w:type="spellStart"/>
      <w:r w:rsidRPr="00F260E8">
        <w:rPr>
          <w:rFonts w:cs="Arial"/>
          <w:sz w:val="18"/>
          <w:szCs w:val="18"/>
        </w:rPr>
        <w:t>Bolognese</w:t>
      </w:r>
      <w:proofErr w:type="spellEnd"/>
      <w:r w:rsidRPr="00F260E8">
        <w:rPr>
          <w:rFonts w:cs="Arial"/>
          <w:sz w:val="18"/>
          <w:szCs w:val="18"/>
        </w:rPr>
        <w:t xml:space="preserve">/Italija) in Ducati Motor Holding </w:t>
      </w:r>
      <w:proofErr w:type="spellStart"/>
      <w:r w:rsidRPr="00F260E8">
        <w:rPr>
          <w:rFonts w:cs="Arial"/>
          <w:sz w:val="18"/>
          <w:szCs w:val="18"/>
        </w:rPr>
        <w:t>S.p.A</w:t>
      </w:r>
      <w:proofErr w:type="spellEnd"/>
      <w:r w:rsidRPr="00F260E8">
        <w:rPr>
          <w:rFonts w:cs="Arial"/>
          <w:sz w:val="18"/>
          <w:szCs w:val="18"/>
        </w:rPr>
        <w:t>. (Bologna/Italija).</w:t>
      </w:r>
    </w:p>
    <w:p w14:paraId="0CF7B721" w14:textId="2BB67BC7" w:rsidR="001D3FFC" w:rsidRPr="00F260E8" w:rsidRDefault="00C0742E" w:rsidP="00F260E8">
      <w:pPr>
        <w:spacing w:before="118" w:line="242" w:lineRule="auto"/>
        <w:ind w:left="318" w:right="122"/>
        <w:jc w:val="both"/>
        <w:rPr>
          <w:rFonts w:cs="Arial"/>
          <w:sz w:val="18"/>
          <w:szCs w:val="18"/>
        </w:rPr>
      </w:pPr>
      <w:r w:rsidRPr="00F260E8">
        <w:rPr>
          <w:rFonts w:cs="Arial"/>
          <w:sz w:val="18"/>
          <w:szCs w:val="18"/>
        </w:rPr>
        <w:t>V poslovnem letu 2019 je proizvajalec prestižnih vozil s prometom v višini 55,7 milijarde EUR zabeležil 4,5 milijarde EUR dobička iz poslovanja. Trenutno je v podjetju zaposlenih okoli 87.000 ljudi, od tega</w:t>
      </w:r>
      <w:r w:rsidR="00F260E8">
        <w:rPr>
          <w:rFonts w:cs="Arial"/>
          <w:sz w:val="18"/>
          <w:szCs w:val="18"/>
        </w:rPr>
        <w:t xml:space="preserve"> </w:t>
      </w:r>
      <w:r w:rsidRPr="00F260E8">
        <w:rPr>
          <w:rFonts w:cs="Arial"/>
          <w:sz w:val="18"/>
          <w:szCs w:val="18"/>
        </w:rPr>
        <w:t xml:space="preserve">60.000 v Nemčiji. Z novimi modeli, inovativnimi </w:t>
      </w:r>
      <w:proofErr w:type="spellStart"/>
      <w:r w:rsidRPr="00F260E8">
        <w:rPr>
          <w:rFonts w:cs="Arial"/>
          <w:sz w:val="18"/>
          <w:szCs w:val="18"/>
        </w:rPr>
        <w:t>mobilnostnimi</w:t>
      </w:r>
      <w:proofErr w:type="spellEnd"/>
      <w:r w:rsidRPr="00F260E8">
        <w:rPr>
          <w:rFonts w:cs="Arial"/>
          <w:sz w:val="18"/>
          <w:szCs w:val="18"/>
        </w:rPr>
        <w:t xml:space="preserve"> ponudbami in privlačnimi storitvami postaja Audi ponudnik trajnostne, individualno prilagojene prestižne mobilnosti.</w:t>
      </w:r>
    </w:p>
    <w:p w14:paraId="16391959" w14:textId="12B73C57" w:rsidR="001D3FFC" w:rsidRPr="00F260E8" w:rsidRDefault="00A61CB3">
      <w:pPr>
        <w:pStyle w:val="Telobesedila"/>
        <w:rPr>
          <w:rFonts w:cs="Arial"/>
          <w:sz w:val="18"/>
          <w:szCs w:val="18"/>
        </w:rPr>
      </w:pPr>
      <w:r>
        <w:rPr>
          <w:rFonts w:cs="Arial"/>
          <w:sz w:val="18"/>
          <w:szCs w:val="18"/>
        </w:rPr>
        <w:pict w14:anchorId="651FBE72">
          <v:rect id="_x0000_s1026" style="position:absolute;margin-left:70.2pt;margin-top:3.1pt;width:454.05pt;height:.5pt;z-index:-15728128;mso-wrap-distance-left:0;mso-wrap-distance-right:0;mso-position-horizontal-relative:page" fillcolor="black" stroked="f">
            <w10:wrap type="topAndBottom" anchorx="page"/>
          </v:rect>
        </w:pict>
      </w:r>
    </w:p>
    <w:p w14:paraId="278E3331" w14:textId="77777777" w:rsidR="001D3FFC" w:rsidRPr="00F260E8" w:rsidRDefault="001D3FFC">
      <w:pPr>
        <w:pStyle w:val="Telobesedila"/>
        <w:spacing w:before="5"/>
        <w:rPr>
          <w:rFonts w:cs="Arial"/>
          <w:sz w:val="18"/>
          <w:szCs w:val="18"/>
        </w:rPr>
      </w:pPr>
    </w:p>
    <w:p w14:paraId="154E99B3" w14:textId="77777777" w:rsidR="001D3FFC" w:rsidRPr="00F260E8" w:rsidRDefault="00C0742E" w:rsidP="00F260E8">
      <w:pPr>
        <w:pStyle w:val="Naslov1"/>
        <w:spacing w:before="113"/>
        <w:ind w:right="0"/>
        <w:rPr>
          <w:rFonts w:cs="Arial"/>
          <w:sz w:val="18"/>
          <w:szCs w:val="18"/>
        </w:rPr>
      </w:pPr>
      <w:r w:rsidRPr="00F260E8">
        <w:rPr>
          <w:rFonts w:cs="Arial"/>
          <w:sz w:val="18"/>
          <w:szCs w:val="18"/>
        </w:rPr>
        <w:t xml:space="preserve">Podatki o porabi za Audi e-tron </w:t>
      </w:r>
      <w:proofErr w:type="spellStart"/>
      <w:r w:rsidRPr="00F260E8">
        <w:rPr>
          <w:rFonts w:cs="Arial"/>
          <w:sz w:val="18"/>
          <w:szCs w:val="18"/>
        </w:rPr>
        <w:t>Sportback</w:t>
      </w:r>
      <w:proofErr w:type="spellEnd"/>
    </w:p>
    <w:p w14:paraId="036B12AA" w14:textId="5C75CFED" w:rsidR="001D3FFC" w:rsidRPr="00F260E8" w:rsidRDefault="00C0742E" w:rsidP="00F260E8">
      <w:pPr>
        <w:pStyle w:val="Telobesedila"/>
        <w:spacing w:before="2" w:line="244" w:lineRule="auto"/>
        <w:ind w:left="318"/>
        <w:rPr>
          <w:rFonts w:cs="Arial"/>
          <w:sz w:val="18"/>
          <w:szCs w:val="18"/>
        </w:rPr>
      </w:pPr>
      <w:r w:rsidRPr="00F260E8">
        <w:rPr>
          <w:rFonts w:cs="Arial"/>
          <w:sz w:val="18"/>
          <w:szCs w:val="18"/>
        </w:rPr>
        <w:t xml:space="preserve">poraba električne energije v kWh/100 km (kombinirana): 26,3–21,6 (WLTP); 23,9–20,6 (NEVC); </w:t>
      </w:r>
      <w:r w:rsidR="00F260E8">
        <w:rPr>
          <w:rFonts w:cs="Arial"/>
          <w:sz w:val="18"/>
          <w:szCs w:val="18"/>
        </w:rPr>
        <w:br/>
      </w:r>
      <w:r w:rsidRPr="00F260E8">
        <w:rPr>
          <w:rFonts w:cs="Arial"/>
          <w:sz w:val="18"/>
          <w:szCs w:val="18"/>
        </w:rPr>
        <w:t>emisija CO</w:t>
      </w:r>
      <w:r w:rsidRPr="00F260E8">
        <w:rPr>
          <w:rFonts w:cs="Arial"/>
          <w:sz w:val="18"/>
          <w:szCs w:val="18"/>
          <w:vertAlign w:val="subscript"/>
        </w:rPr>
        <w:t>2</w:t>
      </w:r>
      <w:r w:rsidRPr="00F260E8">
        <w:rPr>
          <w:rFonts w:cs="Arial"/>
          <w:sz w:val="18"/>
          <w:szCs w:val="18"/>
        </w:rPr>
        <w:t xml:space="preserve"> v g/km, kombinirana: 0</w:t>
      </w:r>
    </w:p>
    <w:p w14:paraId="3DB7C4CC" w14:textId="77777777" w:rsidR="001D3FFC" w:rsidRPr="00F260E8" w:rsidRDefault="00C0742E" w:rsidP="00F260E8">
      <w:pPr>
        <w:spacing w:line="242" w:lineRule="auto"/>
        <w:ind w:left="318" w:right="154"/>
        <w:rPr>
          <w:rFonts w:cs="Arial"/>
          <w:i/>
          <w:sz w:val="18"/>
          <w:szCs w:val="18"/>
        </w:rPr>
      </w:pPr>
      <w:r w:rsidRPr="00F260E8">
        <w:rPr>
          <w:rFonts w:cs="Arial"/>
          <w:i/>
          <w:sz w:val="18"/>
          <w:szCs w:val="18"/>
        </w:rPr>
        <w:t>Poraba goriva in emisije CO</w:t>
      </w:r>
      <w:r w:rsidRPr="00F260E8">
        <w:rPr>
          <w:rFonts w:cs="Arial"/>
          <w:i/>
          <w:sz w:val="18"/>
          <w:szCs w:val="18"/>
          <w:vertAlign w:val="subscript"/>
        </w:rPr>
        <w:t>2</w:t>
      </w:r>
      <w:r w:rsidRPr="00F260E8">
        <w:rPr>
          <w:rFonts w:cs="Arial"/>
          <w:i/>
          <w:sz w:val="18"/>
          <w:szCs w:val="18"/>
        </w:rPr>
        <w:t xml:space="preserve"> so navedene v razponu, ker so odvisne od izbranih pnevmatik/platišč in opreme vozila.</w:t>
      </w:r>
    </w:p>
    <w:p w14:paraId="4E05930F" w14:textId="77777777" w:rsidR="001D3FFC" w:rsidRPr="00F260E8" w:rsidRDefault="001D3FFC">
      <w:pPr>
        <w:pStyle w:val="Telobesedila"/>
        <w:rPr>
          <w:rFonts w:cs="Arial"/>
          <w:i/>
          <w:sz w:val="18"/>
          <w:szCs w:val="18"/>
        </w:rPr>
      </w:pPr>
    </w:p>
    <w:p w14:paraId="46E79531" w14:textId="77777777" w:rsidR="001D3FFC" w:rsidRPr="00F260E8" w:rsidRDefault="001D3FFC">
      <w:pPr>
        <w:pStyle w:val="Telobesedila"/>
        <w:spacing w:before="7"/>
        <w:rPr>
          <w:rFonts w:cs="Arial"/>
          <w:i/>
          <w:sz w:val="18"/>
          <w:szCs w:val="18"/>
        </w:rPr>
      </w:pPr>
    </w:p>
    <w:p w14:paraId="3D536479" w14:textId="77777777" w:rsidR="001D3FFC" w:rsidRPr="00F260E8" w:rsidRDefault="00C0742E">
      <w:pPr>
        <w:spacing w:line="244" w:lineRule="auto"/>
        <w:ind w:left="318" w:right="112"/>
        <w:jc w:val="both"/>
        <w:rPr>
          <w:rFonts w:cs="Arial"/>
          <w:sz w:val="18"/>
          <w:szCs w:val="18"/>
        </w:rPr>
      </w:pPr>
      <w:r w:rsidRPr="00F260E8">
        <w:rPr>
          <w:rFonts w:cs="Arial"/>
          <w:sz w:val="18"/>
          <w:szCs w:val="18"/>
        </w:rPr>
        <w:t xml:space="preserve">Navedene vrednosti porabe in emisij so bile izmerjene skladno z zakonsko predpisanimi merilnimi postopki. Od 1. septembra 2017 homologacijski postopek za določena nova vozila že poteka skladno z Globalno usklajenim preizkusnim postopkom za lahka vozila (angl. World </w:t>
      </w:r>
      <w:proofErr w:type="spellStart"/>
      <w:r w:rsidRPr="00F260E8">
        <w:rPr>
          <w:rFonts w:cs="Arial"/>
          <w:sz w:val="18"/>
          <w:szCs w:val="18"/>
        </w:rPr>
        <w:t>Harmonised</w:t>
      </w:r>
      <w:proofErr w:type="spellEnd"/>
      <w:r w:rsidRPr="00F260E8">
        <w:rPr>
          <w:rFonts w:cs="Arial"/>
          <w:sz w:val="18"/>
          <w:szCs w:val="18"/>
        </w:rPr>
        <w:t xml:space="preserve"> </w:t>
      </w:r>
      <w:proofErr w:type="spellStart"/>
      <w:r w:rsidRPr="00F260E8">
        <w:rPr>
          <w:rFonts w:cs="Arial"/>
          <w:sz w:val="18"/>
          <w:szCs w:val="18"/>
        </w:rPr>
        <w:t>Light</w:t>
      </w:r>
      <w:proofErr w:type="spellEnd"/>
      <w:r w:rsidRPr="00F260E8">
        <w:rPr>
          <w:rFonts w:cs="Arial"/>
          <w:sz w:val="18"/>
          <w:szCs w:val="18"/>
        </w:rPr>
        <w:t xml:space="preserve"> </w:t>
      </w:r>
      <w:proofErr w:type="spellStart"/>
      <w:r w:rsidRPr="00F260E8">
        <w:rPr>
          <w:rFonts w:cs="Arial"/>
          <w:sz w:val="18"/>
          <w:szCs w:val="18"/>
        </w:rPr>
        <w:t>Vehicle</w:t>
      </w:r>
      <w:proofErr w:type="spellEnd"/>
      <w:r w:rsidRPr="00F260E8">
        <w:rPr>
          <w:rFonts w:cs="Arial"/>
          <w:sz w:val="18"/>
          <w:szCs w:val="18"/>
        </w:rPr>
        <w:t xml:space="preserve"> Test Procedure, WLTP), ki omogoča realnejši prikaz porabe goriva in emisij CO</w:t>
      </w:r>
      <w:r w:rsidRPr="00F260E8">
        <w:rPr>
          <w:rFonts w:cs="Arial"/>
          <w:sz w:val="18"/>
          <w:szCs w:val="18"/>
          <w:vertAlign w:val="subscript"/>
        </w:rPr>
        <w:t>2</w:t>
      </w:r>
      <w:r w:rsidRPr="00F260E8">
        <w:rPr>
          <w:rFonts w:cs="Arial"/>
          <w:sz w:val="18"/>
          <w:szCs w:val="18"/>
        </w:rPr>
        <w:t>. Od 1. septembra 2018 je postopek WLTP postopoma nadomestil preizkusni postopek, imenovan Novi evropski vozni cikel (NEVC). Zaradi realnejših preizkusnih pogojev so vrednosti porabe goriva in emisij CO</w:t>
      </w:r>
      <w:r w:rsidRPr="00F260E8">
        <w:rPr>
          <w:rFonts w:cs="Arial"/>
          <w:sz w:val="18"/>
          <w:szCs w:val="18"/>
          <w:vertAlign w:val="subscript"/>
        </w:rPr>
        <w:t>2</w:t>
      </w:r>
      <w:r w:rsidRPr="00F260E8">
        <w:rPr>
          <w:rFonts w:cs="Arial"/>
          <w:sz w:val="18"/>
          <w:szCs w:val="18"/>
        </w:rPr>
        <w:t xml:space="preserve">, izmerjene po postopku WLTP, v mnogih primerih višje od vrednosti, izmerjenih po postopku NEVC. Podrobnejše informacije o razlikah med postopkoma WLTP in NEVC lahko najdete na spletni strani </w:t>
      </w:r>
      <w:hyperlink r:id="rId13">
        <w:r w:rsidRPr="00F260E8">
          <w:rPr>
            <w:rFonts w:cs="Arial"/>
            <w:sz w:val="18"/>
            <w:szCs w:val="18"/>
          </w:rPr>
          <w:t>https://www.audi.si/modeli/wltp</w:t>
        </w:r>
      </w:hyperlink>
      <w:r w:rsidRPr="00F260E8">
        <w:rPr>
          <w:rFonts w:cs="Arial"/>
          <w:sz w:val="18"/>
          <w:szCs w:val="18"/>
        </w:rPr>
        <w:t>.</w:t>
      </w:r>
    </w:p>
    <w:p w14:paraId="43425078" w14:textId="77777777" w:rsidR="001D3FFC" w:rsidRPr="00F260E8" w:rsidRDefault="00C0742E">
      <w:pPr>
        <w:spacing w:before="115" w:line="244" w:lineRule="auto"/>
        <w:ind w:left="318" w:right="111"/>
        <w:jc w:val="both"/>
        <w:rPr>
          <w:rFonts w:cs="Arial"/>
          <w:sz w:val="18"/>
          <w:szCs w:val="18"/>
        </w:rPr>
      </w:pPr>
      <w:r w:rsidRPr="00F260E8">
        <w:rPr>
          <w:rFonts w:cs="Arial"/>
          <w:sz w:val="18"/>
          <w:szCs w:val="18"/>
        </w:rPr>
        <w:t>Trenutno je še obvezno navajanje vrednosti, izmerjenih po postopku NEVC. Pri novih vozilih, ki so homologirana po postopku WLTP, se vrednosti NEVC izpeljejo iz vrednosti, pridobljenih med preizkusnim postopkom WLTP. Dodatna navedba vrednosti iz postopka WLTP je do obvezne uporabe prostovoljna. Če so vrednosti NEVC navedene v razponu, se ne navezujejo na eno samo, individualno vozilo in niso sestavni del ponudbe, temveč so namenjene zgolj primerjavi med različnimi tipi vozil. Dodatna in dopolnilna oprema (montažni deli, pnevmatike drugih velikosti itd.) lahko spremenita relevantne parametre vozila, kot so npr. masa, kotalni upor in aerodinamika, ter poleg vremenskih pogojev, prometnih razmer in individualnega načina vožnje vplivata na porabo goriva, porabo električne energije, emisije CO</w:t>
      </w:r>
      <w:r w:rsidRPr="00F260E8">
        <w:rPr>
          <w:rFonts w:cs="Arial"/>
          <w:sz w:val="18"/>
          <w:szCs w:val="18"/>
          <w:vertAlign w:val="subscript"/>
        </w:rPr>
        <w:t>2</w:t>
      </w:r>
      <w:r w:rsidRPr="00F260E8">
        <w:rPr>
          <w:rFonts w:cs="Arial"/>
          <w:sz w:val="18"/>
          <w:szCs w:val="18"/>
        </w:rPr>
        <w:t xml:space="preserve"> in vozne zmogljivosti vozila.</w:t>
      </w:r>
    </w:p>
    <w:p w14:paraId="6215F59E" w14:textId="77777777" w:rsidR="001D3FFC" w:rsidRDefault="00C0742E">
      <w:pPr>
        <w:spacing w:before="112" w:line="244" w:lineRule="auto"/>
        <w:ind w:left="318" w:right="114"/>
        <w:jc w:val="both"/>
        <w:rPr>
          <w:sz w:val="18"/>
        </w:rPr>
      </w:pPr>
      <w:r w:rsidRPr="00F260E8">
        <w:rPr>
          <w:rFonts w:cs="Arial"/>
          <w:sz w:val="18"/>
          <w:szCs w:val="18"/>
        </w:rPr>
        <w:t xml:space="preserve">Podrobne </w:t>
      </w:r>
      <w:proofErr w:type="spellStart"/>
      <w:r w:rsidRPr="00F260E8">
        <w:rPr>
          <w:rFonts w:cs="Arial"/>
          <w:sz w:val="18"/>
          <w:szCs w:val="18"/>
        </w:rPr>
        <w:t>okoljske</w:t>
      </w:r>
      <w:proofErr w:type="spellEnd"/>
      <w:r w:rsidRPr="00F260E8">
        <w:rPr>
          <w:rFonts w:cs="Arial"/>
          <w:sz w:val="18"/>
          <w:szCs w:val="18"/>
        </w:rPr>
        <w:t xml:space="preserve"> informacije o novih osebnih avtomobilih lahko najdete v priročniku o varčni porabi goriva, emisijah CO</w:t>
      </w:r>
      <w:r w:rsidRPr="00F260E8">
        <w:rPr>
          <w:rFonts w:cs="Arial"/>
          <w:sz w:val="18"/>
          <w:szCs w:val="18"/>
          <w:vertAlign w:val="subscript"/>
        </w:rPr>
        <w:t>2</w:t>
      </w:r>
      <w:r w:rsidRPr="00F260E8">
        <w:rPr>
          <w:rFonts w:cs="Arial"/>
          <w:sz w:val="18"/>
          <w:szCs w:val="18"/>
        </w:rPr>
        <w:t xml:space="preserve"> in emisijah onesnaževal zunanjega zraka, ki ga lahko brezplačno pridobite na vseh prodajnih mestih in na spletni strani </w:t>
      </w:r>
      <w:hyperlink r:id="rId14">
        <w:r w:rsidRPr="00F260E8">
          <w:rPr>
            <w:rFonts w:cs="Arial"/>
            <w:sz w:val="18"/>
            <w:szCs w:val="18"/>
          </w:rPr>
          <w:t>https://www.audi.si/modeli/prirocnik-o-varcni-porabi-goriva-in-emisijah</w:t>
        </w:r>
      </w:hyperlink>
      <w:r>
        <w:rPr>
          <w:sz w:val="12"/>
        </w:rPr>
        <w:t>.</w:t>
      </w:r>
    </w:p>
    <w:sectPr w:rsidR="001D3FFC">
      <w:pgSz w:w="11910" w:h="16840"/>
      <w:pgMar w:top="1660" w:right="1300" w:bottom="460" w:left="1100" w:header="804"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10093" w14:textId="77777777" w:rsidR="00A61CB3" w:rsidRDefault="00A61CB3">
      <w:r>
        <w:separator/>
      </w:r>
    </w:p>
  </w:endnote>
  <w:endnote w:type="continuationSeparator" w:id="0">
    <w:p w14:paraId="13F809D3" w14:textId="77777777" w:rsidR="00A61CB3" w:rsidRDefault="00A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udi Type">
    <w:altName w:val="Calibri"/>
    <w:panose1 w:val="00000000000000000000"/>
    <w:charset w:val="00"/>
    <w:family w:val="swiss"/>
    <w:notTrueType/>
    <w:pitch w:val="variable"/>
    <w:sig w:usb0="A000002F" w:usb1="400020FB" w:usb2="00000000" w:usb3="00000000" w:csb0="00000093" w:csb1="00000000"/>
  </w:font>
  <w:font w:name="Audi Type Extended">
    <w:altName w:val="Calibri"/>
    <w:panose1 w:val="00000000000000000000"/>
    <w:charset w:val="00"/>
    <w:family w:val="swiss"/>
    <w:notTrueType/>
    <w:pitch w:val="variable"/>
    <w:sig w:usb0="A000002F" w:usb1="400020F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0D26" w14:textId="77777777" w:rsidR="001D3FFC" w:rsidRDefault="00A61CB3">
    <w:pPr>
      <w:pStyle w:val="Telobesedila"/>
      <w:spacing w:line="14" w:lineRule="auto"/>
    </w:pPr>
    <w:r>
      <w:pict w14:anchorId="0EBBE0BA">
        <v:shapetype id="_x0000_t202" coordsize="21600,21600" o:spt="202" path="m,l,21600r21600,l21600,xe">
          <v:stroke joinstyle="miter"/>
          <v:path gradientshapeok="t" o:connecttype="rect"/>
        </v:shapetype>
        <v:shape id="_x0000_s2049" type="#_x0000_t202" style="position:absolute;margin-left:506pt;margin-top:817.8pt;width:19.55pt;height:13pt;z-index:-15880704;mso-position-horizontal-relative:page;mso-position-vertical-relative:page" filled="f" stroked="f">
          <v:textbox inset="0,0,0,0">
            <w:txbxContent>
              <w:p w14:paraId="4166DFB3" w14:textId="77777777" w:rsidR="001D3FFC" w:rsidRDefault="00C0742E">
                <w:pPr>
                  <w:spacing w:before="32"/>
                  <w:ind w:left="60"/>
                  <w:rPr>
                    <w:sz w:val="18"/>
                  </w:rPr>
                </w:pPr>
                <w:r>
                  <w:fldChar w:fldCharType="begin"/>
                </w:r>
                <w:r>
                  <w:rPr>
                    <w:sz w:val="18"/>
                  </w:rPr>
                  <w:instrText xml:space="preserve"> PAGE </w:instrText>
                </w:r>
                <w:r>
                  <w:fldChar w:fldCharType="separate"/>
                </w:r>
                <w:r>
                  <w:t>1</w:t>
                </w:r>
                <w:r>
                  <w:fldChar w:fldCharType="end"/>
                </w:r>
                <w:r>
                  <w:rPr>
                    <w:sz w:val="18"/>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52F16" w14:textId="77777777" w:rsidR="00A61CB3" w:rsidRDefault="00A61CB3">
      <w:r>
        <w:separator/>
      </w:r>
    </w:p>
  </w:footnote>
  <w:footnote w:type="continuationSeparator" w:id="0">
    <w:p w14:paraId="63289488" w14:textId="77777777" w:rsidR="00A61CB3" w:rsidRDefault="00A6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A62A" w14:textId="502471A7" w:rsidR="001D3FFC" w:rsidRDefault="00A61CB3">
    <w:pPr>
      <w:pStyle w:val="Telobesedila"/>
      <w:spacing w:line="14" w:lineRule="auto"/>
    </w:pPr>
    <w:r>
      <w:pict w14:anchorId="66DEDC72">
        <v:shapetype id="_x0000_t202" coordsize="21600,21600" o:spt="202" path="m,l,21600r21600,l21600,xe">
          <v:stroke joinstyle="miter"/>
          <v:path gradientshapeok="t" o:connecttype="rect"/>
        </v:shapetype>
        <v:shape id="_x0000_s2050" type="#_x0000_t202" style="position:absolute;margin-left:69.95pt;margin-top:40.8pt;width:200.4pt;height:32.85pt;z-index:-15881216;mso-position-horizontal-relative:page;mso-position-vertical-relative:page" filled="f" stroked="f">
          <v:textbox inset="0,0,0,0">
            <w:txbxContent>
              <w:p w14:paraId="58A8F4D8" w14:textId="77777777" w:rsidR="001D3FFC" w:rsidRDefault="00C0742E">
                <w:pPr>
                  <w:spacing w:before="37" w:line="306" w:lineRule="exact"/>
                  <w:ind w:left="20"/>
                  <w:rPr>
                    <w:rFonts w:ascii="Audi Type Extended"/>
                    <w:b/>
                    <w:sz w:val="26"/>
                  </w:rPr>
                </w:pPr>
                <w:r>
                  <w:rPr>
                    <w:rFonts w:ascii="Audi Type Extended"/>
                    <w:b/>
                    <w:color w:val="F50437"/>
                    <w:sz w:val="26"/>
                  </w:rPr>
                  <w:t>Audi</w:t>
                </w:r>
              </w:p>
              <w:p w14:paraId="64C5E1ED" w14:textId="77777777" w:rsidR="001D3FFC" w:rsidRPr="00F260E8" w:rsidRDefault="00C0742E">
                <w:pPr>
                  <w:spacing w:line="306" w:lineRule="exact"/>
                  <w:ind w:left="20"/>
                  <w:rPr>
                    <w:rFonts w:ascii="Audi Type Extended" w:hAnsi="Audi Type Extended"/>
                    <w:sz w:val="26"/>
                  </w:rPr>
                </w:pPr>
                <w:r w:rsidRPr="00F260E8">
                  <w:rPr>
                    <w:rFonts w:ascii="Audi Type Extended" w:hAnsi="Audi Type Extended"/>
                    <w:sz w:val="26"/>
                  </w:rPr>
                  <w:t>Sporočilo za medije</w:t>
                </w:r>
              </w:p>
            </w:txbxContent>
          </v:textbox>
          <w10:wrap anchorx="page" anchory="page"/>
        </v:shape>
      </w:pict>
    </w:r>
    <w:r w:rsidR="00C0742E">
      <w:rPr>
        <w:noProof/>
      </w:rPr>
      <w:drawing>
        <wp:anchor distT="0" distB="0" distL="0" distR="0" simplePos="0" relativeHeight="487434752" behindDoc="1" locked="0" layoutInCell="1" allowOverlap="1" wp14:anchorId="5AB8314F" wp14:editId="6748973D">
          <wp:simplePos x="0" y="0"/>
          <wp:positionH relativeFrom="page">
            <wp:posOffset>5648973</wp:posOffset>
          </wp:positionH>
          <wp:positionV relativeFrom="page">
            <wp:posOffset>510586</wp:posOffset>
          </wp:positionV>
          <wp:extent cx="1067861" cy="3685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7861" cy="368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E0F18"/>
    <w:multiLevelType w:val="hybridMultilevel"/>
    <w:tmpl w:val="64269304"/>
    <w:lvl w:ilvl="0" w:tplc="7982FD4E">
      <w:numFmt w:val="bullet"/>
      <w:lvlText w:val=""/>
      <w:lvlJc w:val="left"/>
      <w:pPr>
        <w:ind w:left="743" w:hanging="425"/>
      </w:pPr>
      <w:rPr>
        <w:rFonts w:ascii="Symbol" w:eastAsia="Symbol" w:hAnsi="Symbol" w:cs="Symbol" w:hint="default"/>
        <w:w w:val="100"/>
        <w:sz w:val="22"/>
        <w:szCs w:val="22"/>
        <w:lang w:val="de-DE" w:eastAsia="en-US" w:bidi="ar-SA"/>
      </w:rPr>
    </w:lvl>
    <w:lvl w:ilvl="1" w:tplc="5F628E96">
      <w:numFmt w:val="bullet"/>
      <w:lvlText w:val="•"/>
      <w:lvlJc w:val="left"/>
      <w:pPr>
        <w:ind w:left="1616" w:hanging="425"/>
      </w:pPr>
      <w:rPr>
        <w:rFonts w:hint="default"/>
        <w:lang w:val="de-DE" w:eastAsia="en-US" w:bidi="ar-SA"/>
      </w:rPr>
    </w:lvl>
    <w:lvl w:ilvl="2" w:tplc="96EE9498">
      <w:numFmt w:val="bullet"/>
      <w:lvlText w:val="•"/>
      <w:lvlJc w:val="left"/>
      <w:pPr>
        <w:ind w:left="2493" w:hanging="425"/>
      </w:pPr>
      <w:rPr>
        <w:rFonts w:hint="default"/>
        <w:lang w:val="de-DE" w:eastAsia="en-US" w:bidi="ar-SA"/>
      </w:rPr>
    </w:lvl>
    <w:lvl w:ilvl="3" w:tplc="037E39AA">
      <w:numFmt w:val="bullet"/>
      <w:lvlText w:val="•"/>
      <w:lvlJc w:val="left"/>
      <w:pPr>
        <w:ind w:left="3369" w:hanging="425"/>
      </w:pPr>
      <w:rPr>
        <w:rFonts w:hint="default"/>
        <w:lang w:val="de-DE" w:eastAsia="en-US" w:bidi="ar-SA"/>
      </w:rPr>
    </w:lvl>
    <w:lvl w:ilvl="4" w:tplc="A35C9EA6">
      <w:numFmt w:val="bullet"/>
      <w:lvlText w:val="•"/>
      <w:lvlJc w:val="left"/>
      <w:pPr>
        <w:ind w:left="4246" w:hanging="425"/>
      </w:pPr>
      <w:rPr>
        <w:rFonts w:hint="default"/>
        <w:lang w:val="de-DE" w:eastAsia="en-US" w:bidi="ar-SA"/>
      </w:rPr>
    </w:lvl>
    <w:lvl w:ilvl="5" w:tplc="B7B077BC">
      <w:numFmt w:val="bullet"/>
      <w:lvlText w:val="•"/>
      <w:lvlJc w:val="left"/>
      <w:pPr>
        <w:ind w:left="5123" w:hanging="425"/>
      </w:pPr>
      <w:rPr>
        <w:rFonts w:hint="default"/>
        <w:lang w:val="de-DE" w:eastAsia="en-US" w:bidi="ar-SA"/>
      </w:rPr>
    </w:lvl>
    <w:lvl w:ilvl="6" w:tplc="D31C6172">
      <w:numFmt w:val="bullet"/>
      <w:lvlText w:val="•"/>
      <w:lvlJc w:val="left"/>
      <w:pPr>
        <w:ind w:left="5999" w:hanging="425"/>
      </w:pPr>
      <w:rPr>
        <w:rFonts w:hint="default"/>
        <w:lang w:val="de-DE" w:eastAsia="en-US" w:bidi="ar-SA"/>
      </w:rPr>
    </w:lvl>
    <w:lvl w:ilvl="7" w:tplc="B2700AAE">
      <w:numFmt w:val="bullet"/>
      <w:lvlText w:val="•"/>
      <w:lvlJc w:val="left"/>
      <w:pPr>
        <w:ind w:left="6876" w:hanging="425"/>
      </w:pPr>
      <w:rPr>
        <w:rFonts w:hint="default"/>
        <w:lang w:val="de-DE" w:eastAsia="en-US" w:bidi="ar-SA"/>
      </w:rPr>
    </w:lvl>
    <w:lvl w:ilvl="8" w:tplc="0F5C957A">
      <w:numFmt w:val="bullet"/>
      <w:lvlText w:val="•"/>
      <w:lvlJc w:val="left"/>
      <w:pPr>
        <w:ind w:left="7753" w:hanging="425"/>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3FFC"/>
    <w:rsid w:val="001D3FFC"/>
    <w:rsid w:val="002979BC"/>
    <w:rsid w:val="00416EEC"/>
    <w:rsid w:val="00A61CB3"/>
    <w:rsid w:val="00C0742E"/>
    <w:rsid w:val="00C71AD1"/>
    <w:rsid w:val="00F26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45078C"/>
  <w15:docId w15:val="{9A87CB96-7BBF-4C77-8858-2DF8A38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udi Type" w:eastAsia="Audi Type" w:hAnsi="Audi Type" w:cs="Audi Type"/>
    </w:rPr>
  </w:style>
  <w:style w:type="paragraph" w:styleId="Naslov1">
    <w:name w:val="heading 1"/>
    <w:basedOn w:val="Navaden"/>
    <w:uiPriority w:val="9"/>
    <w:qFormat/>
    <w:pPr>
      <w:ind w:left="318" w:right="160"/>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120"/>
      <w:ind w:left="318" w:right="1464"/>
    </w:pPr>
    <w:rPr>
      <w:rFonts w:ascii="Audi Type Extended" w:eastAsia="Audi Type Extended" w:hAnsi="Audi Type Extended" w:cs="Audi Type Extended"/>
      <w:b/>
      <w:bCs/>
      <w:sz w:val="28"/>
      <w:szCs w:val="28"/>
    </w:rPr>
  </w:style>
  <w:style w:type="paragraph" w:styleId="Odstavekseznama">
    <w:name w:val="List Paragraph"/>
    <w:basedOn w:val="Navaden"/>
    <w:uiPriority w:val="1"/>
    <w:qFormat/>
    <w:pPr>
      <w:spacing w:before="16"/>
      <w:ind w:left="743" w:hanging="426"/>
    </w:pPr>
  </w:style>
  <w:style w:type="paragraph" w:customStyle="1" w:styleId="TableParagraph">
    <w:name w:val="Table Paragraph"/>
    <w:basedOn w:val="Navaden"/>
    <w:uiPriority w:val="1"/>
    <w:qFormat/>
    <w:pPr>
      <w:spacing w:before="98"/>
      <w:ind w:left="402"/>
      <w:jc w:val="center"/>
    </w:pPr>
  </w:style>
  <w:style w:type="paragraph" w:styleId="Glava">
    <w:name w:val="header"/>
    <w:basedOn w:val="Navaden"/>
    <w:link w:val="GlavaZnak"/>
    <w:uiPriority w:val="99"/>
    <w:unhideWhenUsed/>
    <w:rsid w:val="00F260E8"/>
    <w:pPr>
      <w:tabs>
        <w:tab w:val="center" w:pos="4536"/>
        <w:tab w:val="right" w:pos="9072"/>
      </w:tabs>
    </w:pPr>
  </w:style>
  <w:style w:type="character" w:customStyle="1" w:styleId="GlavaZnak">
    <w:name w:val="Glava Znak"/>
    <w:basedOn w:val="Privzetapisavaodstavka"/>
    <w:link w:val="Glava"/>
    <w:uiPriority w:val="99"/>
    <w:rsid w:val="00F260E8"/>
    <w:rPr>
      <w:rFonts w:ascii="Audi Type" w:eastAsia="Audi Type" w:hAnsi="Audi Type" w:cs="Audi Type"/>
    </w:rPr>
  </w:style>
  <w:style w:type="paragraph" w:styleId="Noga">
    <w:name w:val="footer"/>
    <w:basedOn w:val="Navaden"/>
    <w:link w:val="NogaZnak"/>
    <w:uiPriority w:val="99"/>
    <w:unhideWhenUsed/>
    <w:rsid w:val="00F260E8"/>
    <w:pPr>
      <w:tabs>
        <w:tab w:val="center" w:pos="4536"/>
        <w:tab w:val="right" w:pos="9072"/>
      </w:tabs>
    </w:pPr>
  </w:style>
  <w:style w:type="character" w:customStyle="1" w:styleId="NogaZnak">
    <w:name w:val="Noga Znak"/>
    <w:basedOn w:val="Privzetapisavaodstavka"/>
    <w:link w:val="Noga"/>
    <w:uiPriority w:val="99"/>
    <w:rsid w:val="00F260E8"/>
    <w:rPr>
      <w:rFonts w:ascii="Audi Type" w:eastAsia="Audi Type" w:hAnsi="Audi Type" w:cs="Audi 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si/modeli/wlt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a.clemendt@aud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di-mediacenter.com/de" TargetMode="External"/><Relationship Id="rId4" Type="http://schemas.openxmlformats.org/officeDocument/2006/relationships/webSettings" Target="webSettings.xml"/><Relationship Id="rId9" Type="http://schemas.openxmlformats.org/officeDocument/2006/relationships/hyperlink" Target="mailto:thomas1.tacke@audi.de" TargetMode="External"/><Relationship Id="rId14" Type="http://schemas.openxmlformats.org/officeDocument/2006/relationships/hyperlink" Target="https://www.audi.si/modeli/prirocnik-o-varcni-porabi-goriva-in-emisija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dc:description>Prevod: C94</dc:description>
  <cp:lastModifiedBy>Pecelin Sabrina (PSLO - SI/Ljubljana)</cp:lastModifiedBy>
  <cp:revision>2</cp:revision>
  <dcterms:created xsi:type="dcterms:W3CDTF">2021-01-18T11:25:00Z</dcterms:created>
  <dcterms:modified xsi:type="dcterms:W3CDTF">2021-01-18T11:25:00Z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2016</vt:lpwstr>
  </property>
  <property fmtid="{D5CDD505-2E9C-101B-9397-08002B2CF9AE}" pid="4" name="LastSaved">
    <vt:filetime>2021-01-12T00:00:00Z</vt:filetime>
  </property>
</Properties>
</file>