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4E2D" w14:textId="77777777" w:rsidR="00074E51" w:rsidRDefault="00074E51">
      <w:pPr>
        <w:pStyle w:val="Telobesedila"/>
        <w:rPr>
          <w:rFonts w:ascii="Times New Roman"/>
          <w:sz w:val="20"/>
        </w:rPr>
      </w:pPr>
      <w:bookmarkStart w:id="0" w:name="_GoBack"/>
      <w:bookmarkEnd w:id="0"/>
    </w:p>
    <w:p w14:paraId="11CCD5EA" w14:textId="77777777" w:rsidR="00074E51" w:rsidRDefault="00074E51">
      <w:pPr>
        <w:pStyle w:val="Telobesedila"/>
        <w:rPr>
          <w:rFonts w:ascii="Times New Roman"/>
          <w:sz w:val="20"/>
        </w:rPr>
      </w:pPr>
    </w:p>
    <w:p w14:paraId="7A372302" w14:textId="77777777" w:rsidR="00074E51" w:rsidRDefault="00074E51">
      <w:pPr>
        <w:pStyle w:val="Telobesedila"/>
        <w:rPr>
          <w:rFonts w:ascii="Times New Roman"/>
          <w:sz w:val="20"/>
        </w:rPr>
      </w:pPr>
    </w:p>
    <w:p w14:paraId="3046FBFD" w14:textId="77777777" w:rsidR="00074E51" w:rsidRDefault="00074E51">
      <w:pPr>
        <w:pStyle w:val="Telobesedila"/>
        <w:rPr>
          <w:rFonts w:ascii="Times New Roman"/>
          <w:sz w:val="20"/>
        </w:rPr>
      </w:pPr>
    </w:p>
    <w:p w14:paraId="2E3DE0EB" w14:textId="77777777" w:rsidR="00074E51" w:rsidRDefault="00074E51">
      <w:pPr>
        <w:pStyle w:val="Telobesedila"/>
        <w:spacing w:before="4"/>
        <w:rPr>
          <w:rFonts w:ascii="Times New Roman"/>
          <w:sz w:val="18"/>
        </w:rPr>
      </w:pPr>
    </w:p>
    <w:p w14:paraId="16EA6034" w14:textId="77777777" w:rsidR="00074E51" w:rsidRDefault="005D1EC5">
      <w:pPr>
        <w:spacing w:before="101" w:line="177" w:lineRule="exact"/>
        <w:ind w:left="118"/>
        <w:rPr>
          <w:sz w:val="15"/>
        </w:rPr>
      </w:pPr>
      <w:r>
        <w:rPr>
          <w:sz w:val="15"/>
        </w:rPr>
        <w:t>12. januar 2021</w:t>
      </w:r>
    </w:p>
    <w:p w14:paraId="26566918" w14:textId="77777777" w:rsidR="00074E51" w:rsidRDefault="005D1EC5">
      <w:pPr>
        <w:spacing w:before="104" w:line="249" w:lineRule="auto"/>
        <w:ind w:left="118" w:right="2678"/>
        <w:rPr>
          <w:b/>
          <w:sz w:val="30"/>
        </w:rPr>
      </w:pPr>
      <w:bookmarkStart w:id="1" w:name="Marke_Volkswagen_verdreifacht_Auslieferu"/>
      <w:bookmarkEnd w:id="1"/>
      <w:r>
        <w:rPr>
          <w:b/>
          <w:sz w:val="30"/>
        </w:rPr>
        <w:t>Znamka Volkswagen v letu 2020 potrojila prodajo popolnoma električnih vozil</w:t>
      </w:r>
    </w:p>
    <w:p w14:paraId="5C0A83A0" w14:textId="77777777" w:rsidR="00074E51" w:rsidRDefault="00074E51">
      <w:pPr>
        <w:pStyle w:val="Telobesedila"/>
        <w:rPr>
          <w:b/>
          <w:sz w:val="21"/>
        </w:rPr>
      </w:pPr>
    </w:p>
    <w:p w14:paraId="1A687D06" w14:textId="77777777" w:rsidR="00074E51" w:rsidRDefault="00074E51">
      <w:pPr>
        <w:rPr>
          <w:sz w:val="21"/>
        </w:rPr>
        <w:sectPr w:rsidR="00074E51">
          <w:headerReference w:type="default" r:id="rId7"/>
          <w:footerReference w:type="default" r:id="rId8"/>
          <w:type w:val="continuous"/>
          <w:pgSz w:w="11910" w:h="16840"/>
          <w:pgMar w:top="1880" w:right="660" w:bottom="1000" w:left="1300" w:header="638" w:footer="805" w:gutter="0"/>
          <w:pgNumType w:start="1"/>
          <w:cols w:space="708"/>
        </w:sectPr>
      </w:pPr>
    </w:p>
    <w:p w14:paraId="3591183C" w14:textId="77777777" w:rsidR="00074E51" w:rsidRDefault="005D1EC5">
      <w:pPr>
        <w:pStyle w:val="Naslov1"/>
        <w:numPr>
          <w:ilvl w:val="0"/>
          <w:numId w:val="1"/>
        </w:numPr>
        <w:tabs>
          <w:tab w:val="left" w:pos="478"/>
          <w:tab w:val="left" w:pos="479"/>
        </w:tabs>
        <w:spacing w:before="99" w:line="249" w:lineRule="auto"/>
        <w:ind w:right="796"/>
      </w:pPr>
      <w:r>
        <w:t>Znamka Volkswagen Osebna vozila je na globalni ravni prodajo baterijskih električnih vozil povečala za 197 odstotkov, prodajo vseh električnih vozil skupaj pa za 158 odstotkov</w:t>
      </w:r>
    </w:p>
    <w:p w14:paraId="1A5B9376" w14:textId="77777777" w:rsidR="00074E51" w:rsidRDefault="005D1EC5">
      <w:pPr>
        <w:pStyle w:val="Odstavekseznama"/>
        <w:numPr>
          <w:ilvl w:val="0"/>
          <w:numId w:val="1"/>
        </w:numPr>
        <w:tabs>
          <w:tab w:val="left" w:pos="478"/>
          <w:tab w:val="left" w:pos="479"/>
        </w:tabs>
        <w:spacing w:line="230" w:lineRule="exact"/>
        <w:ind w:hanging="361"/>
        <w:rPr>
          <w:b/>
          <w:sz w:val="19"/>
        </w:rPr>
      </w:pPr>
      <w:r>
        <w:rPr>
          <w:b/>
          <w:sz w:val="19"/>
        </w:rPr>
        <w:t>Vse leto 2020 v Nemčiji vodilni na trgu električnih vozil</w:t>
      </w:r>
    </w:p>
    <w:p w14:paraId="4634CB4A" w14:textId="77777777" w:rsidR="00074E51" w:rsidRDefault="005D1EC5">
      <w:pPr>
        <w:pStyle w:val="Naslov1"/>
        <w:numPr>
          <w:ilvl w:val="0"/>
          <w:numId w:val="1"/>
        </w:numPr>
        <w:tabs>
          <w:tab w:val="left" w:pos="478"/>
          <w:tab w:val="left" w:pos="479"/>
        </w:tabs>
        <w:spacing w:before="7" w:line="249" w:lineRule="auto"/>
        <w:ind w:right="552" w:hanging="361"/>
      </w:pPr>
      <w:r>
        <w:t>68.800 naročil v letu 2020: ID.3</w:t>
      </w:r>
      <w:r>
        <w:rPr>
          <w:vertAlign w:val="superscript"/>
        </w:rPr>
        <w:t>1</w:t>
      </w:r>
      <w:r>
        <w:t xml:space="preserve"> je bil decembra na številnih evropskih trgih najbolje prodajani električni avto</w:t>
      </w:r>
    </w:p>
    <w:p w14:paraId="7267C346" w14:textId="3E71BE73" w:rsidR="00074E51" w:rsidRDefault="005D1EC5">
      <w:pPr>
        <w:pStyle w:val="Odstavekseznama"/>
        <w:numPr>
          <w:ilvl w:val="0"/>
          <w:numId w:val="1"/>
        </w:numPr>
        <w:tabs>
          <w:tab w:val="left" w:pos="478"/>
          <w:tab w:val="left" w:pos="479"/>
        </w:tabs>
        <w:spacing w:line="230" w:lineRule="exact"/>
        <w:ind w:hanging="361"/>
        <w:rPr>
          <w:b/>
          <w:sz w:val="19"/>
        </w:rPr>
      </w:pPr>
      <w:r>
        <w:rPr>
          <w:b/>
          <w:sz w:val="19"/>
        </w:rPr>
        <w:t xml:space="preserve">Izvršni direktor Ralf </w:t>
      </w:r>
      <w:proofErr w:type="spellStart"/>
      <w:r>
        <w:rPr>
          <w:b/>
          <w:sz w:val="19"/>
        </w:rPr>
        <w:t>Brandstätter</w:t>
      </w:r>
      <w:proofErr w:type="spellEnd"/>
      <w:r>
        <w:rPr>
          <w:b/>
          <w:sz w:val="19"/>
        </w:rPr>
        <w:t>: "Leto 2020 je prineslo preobrat v električni</w:t>
      </w:r>
      <w:r w:rsidR="00687EB5">
        <w:rPr>
          <w:b/>
          <w:sz w:val="19"/>
        </w:rPr>
        <w:t> </w:t>
      </w:r>
      <w:r>
        <w:rPr>
          <w:b/>
          <w:sz w:val="19"/>
        </w:rPr>
        <w:t>mobilnosti"</w:t>
      </w:r>
    </w:p>
    <w:p w14:paraId="11BB5C21" w14:textId="77777777" w:rsidR="00074E51" w:rsidRDefault="005D1EC5">
      <w:pPr>
        <w:pStyle w:val="Naslov1"/>
        <w:spacing w:before="167" w:line="249" w:lineRule="auto"/>
        <w:ind w:left="118" w:right="38" w:firstLine="0"/>
      </w:pPr>
      <w:r>
        <w:t xml:space="preserve">Wolfsburg (D) – Znamka Volkswagen Osebna vozila je dobila polni zagon pri preobrazbi v smeri električne mobilnosti. "Leto 2020 je Volkswagnu prineslo preobrat in prodor na področju električne mobilnosti," je dejal Ralf </w:t>
      </w:r>
      <w:proofErr w:type="spellStart"/>
      <w:r>
        <w:t>Brandstätter</w:t>
      </w:r>
      <w:proofErr w:type="spellEnd"/>
      <w:r>
        <w:t xml:space="preserve">, izvršni direktor znamke Volkswagen. V minulem letu je znamka po vsem svetu prodala več električnih avtomobilov kot </w:t>
      </w:r>
      <w:proofErr w:type="spellStart"/>
      <w:r>
        <w:t>kdajkoli</w:t>
      </w:r>
      <w:proofErr w:type="spellEnd"/>
      <w:r>
        <w:t xml:space="preserve"> prej: skupno jih je bilo več kot 212.000 (+158 odstotkov v primerjavi z 2019), od tega je bilo skoraj 134.000 (+197 odstotkov glede na 2019) baterijskih električnih vozil. </w:t>
      </w:r>
      <w:proofErr w:type="spellStart"/>
      <w:r>
        <w:t>Brandstätter</w:t>
      </w:r>
      <w:proofErr w:type="spellEnd"/>
      <w:r>
        <w:t xml:space="preserve"> je še povedal: "Smo na dobri poti, da dosežemo naš ambiciozni cilj, postati vodilni ponudnik baterijskih električnih vozil. Kot nobeno drugo podjetje se zavzemamo za privlačno in cenovno dostopno e-mobilnost."</w:t>
      </w:r>
    </w:p>
    <w:p w14:paraId="5BCA0FAA" w14:textId="77777777" w:rsidR="00074E51" w:rsidRDefault="005D1EC5">
      <w:pPr>
        <w:pStyle w:val="Telobesedila"/>
        <w:spacing w:before="1"/>
        <w:rPr>
          <w:rFonts w:ascii="VW Head Office"/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43FED2" wp14:editId="62938219">
            <wp:simplePos x="0" y="0"/>
            <wp:positionH relativeFrom="page">
              <wp:posOffset>954491</wp:posOffset>
            </wp:positionH>
            <wp:positionV relativeFrom="paragraph">
              <wp:posOffset>141926</wp:posOffset>
            </wp:positionV>
            <wp:extent cx="4327638" cy="24410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638" cy="244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7D701" w14:textId="7A8C443F" w:rsidR="00074E51" w:rsidRDefault="005D1EC5">
      <w:pPr>
        <w:pStyle w:val="Telobesedila"/>
        <w:spacing w:before="35" w:line="249" w:lineRule="auto"/>
        <w:ind w:left="118" w:right="10" w:hanging="1"/>
      </w:pPr>
      <w:r>
        <w:t>Kljub zahtevnim tržnim razmeram je Volkswagen na globalni ravni končnim kupcem prodal okrog 5,328 milijona vozil (z vsemi pogonskimi sistemi). V primerjavi s pred</w:t>
      </w:r>
      <w:r w:rsidR="00687EB5">
        <w:softHyphen/>
      </w:r>
      <w:r>
        <w:t>hodnim letom pomeni to za okrog 15 odstotkov slabši rezultat. Če pa si pogledamo samo mesec december, pa je znamka okrepila zaključni sprint pred koncem leta, tako da so v tem mesecu za zelo dobrim decembrom 2019 zaostali samo dva odstotka. "Volkswagen je leta 2020 dokazal svojo moč. Kljub vsem omejitvam v prodaji vozil, ki</w:t>
      </w:r>
      <w:r w:rsidR="00687EB5">
        <w:t> </w:t>
      </w:r>
      <w:r>
        <w:t xml:space="preserve">jih je prinesla pandemija, smo uspeli obdržati svoj globalni tržni delež, v nekaterih regijah pa smo ga celo nekoliko izboljšali," je povedal Klaus </w:t>
      </w:r>
      <w:proofErr w:type="spellStart"/>
      <w:r>
        <w:t>Zellmer</w:t>
      </w:r>
      <w:proofErr w:type="spellEnd"/>
      <w:r>
        <w:t>, direktor prodaje pri znamki Volkswagen Osebna vozila. "To kaže, da imamo privlačne produkte, ki navdušu</w:t>
      </w:r>
      <w:r w:rsidR="00687EB5">
        <w:softHyphen/>
      </w:r>
      <w:r>
        <w:t>jejo naše kupce in visoko motivirano prodajno organizacijo."</w:t>
      </w:r>
    </w:p>
    <w:p w14:paraId="1A9030EF" w14:textId="77777777" w:rsidR="00074E51" w:rsidRDefault="005D1EC5">
      <w:pPr>
        <w:pStyle w:val="Telobesedila"/>
        <w:rPr>
          <w:sz w:val="16"/>
        </w:rPr>
      </w:pPr>
      <w:r>
        <w:br w:type="column"/>
      </w:r>
    </w:p>
    <w:p w14:paraId="28B20622" w14:textId="77777777" w:rsidR="00074E51" w:rsidRDefault="00074E51">
      <w:pPr>
        <w:pStyle w:val="Telobesedila"/>
        <w:rPr>
          <w:sz w:val="16"/>
        </w:rPr>
      </w:pPr>
    </w:p>
    <w:p w14:paraId="50A220DD" w14:textId="77777777" w:rsidR="00074E51" w:rsidRDefault="00074E51">
      <w:pPr>
        <w:pStyle w:val="Telobesedila"/>
        <w:rPr>
          <w:sz w:val="16"/>
        </w:rPr>
      </w:pPr>
    </w:p>
    <w:p w14:paraId="76D3A84E" w14:textId="77777777" w:rsidR="00074E51" w:rsidRDefault="00074E51">
      <w:pPr>
        <w:pStyle w:val="Telobesedila"/>
        <w:rPr>
          <w:sz w:val="16"/>
        </w:rPr>
      </w:pPr>
    </w:p>
    <w:p w14:paraId="30ECB95D" w14:textId="77777777" w:rsidR="00074E51" w:rsidRDefault="00074E51">
      <w:pPr>
        <w:pStyle w:val="Telobesedila"/>
        <w:rPr>
          <w:sz w:val="16"/>
        </w:rPr>
      </w:pPr>
    </w:p>
    <w:p w14:paraId="048FF689" w14:textId="77777777" w:rsidR="00074E51" w:rsidRDefault="00074E51">
      <w:pPr>
        <w:pStyle w:val="Telobesedila"/>
        <w:rPr>
          <w:sz w:val="16"/>
        </w:rPr>
      </w:pPr>
    </w:p>
    <w:p w14:paraId="21F19FC4" w14:textId="77777777" w:rsidR="00074E51" w:rsidRDefault="00074E51">
      <w:pPr>
        <w:pStyle w:val="Telobesedila"/>
        <w:rPr>
          <w:sz w:val="16"/>
        </w:rPr>
      </w:pPr>
    </w:p>
    <w:p w14:paraId="4D8AEC4F" w14:textId="77777777" w:rsidR="00074E51" w:rsidRDefault="00074E51">
      <w:pPr>
        <w:pStyle w:val="Telobesedila"/>
        <w:rPr>
          <w:sz w:val="16"/>
        </w:rPr>
      </w:pPr>
    </w:p>
    <w:p w14:paraId="65985ED3" w14:textId="77777777" w:rsidR="00074E51" w:rsidRDefault="00074E51">
      <w:pPr>
        <w:pStyle w:val="Telobesedila"/>
        <w:rPr>
          <w:sz w:val="16"/>
        </w:rPr>
      </w:pPr>
    </w:p>
    <w:p w14:paraId="217AB379" w14:textId="77777777" w:rsidR="00074E51" w:rsidRDefault="00074E51">
      <w:pPr>
        <w:pStyle w:val="Telobesedila"/>
        <w:spacing w:before="2"/>
      </w:pPr>
    </w:p>
    <w:p w14:paraId="7B43F53B" w14:textId="77777777" w:rsidR="00074E51" w:rsidRDefault="005D1EC5">
      <w:pPr>
        <w:ind w:left="118"/>
        <w:rPr>
          <w:b/>
          <w:sz w:val="14"/>
        </w:rPr>
      </w:pPr>
      <w:r>
        <w:rPr>
          <w:b/>
          <w:sz w:val="14"/>
        </w:rPr>
        <w:t>Kontakt za medije</w:t>
      </w:r>
    </w:p>
    <w:p w14:paraId="7923D530" w14:textId="77777777" w:rsidR="00074E51" w:rsidRDefault="005D1EC5">
      <w:pPr>
        <w:spacing w:before="7"/>
        <w:ind w:left="118" w:right="205"/>
        <w:rPr>
          <w:sz w:val="14"/>
        </w:rPr>
      </w:pPr>
      <w:r>
        <w:rPr>
          <w:sz w:val="14"/>
        </w:rPr>
        <w:t xml:space="preserve">Volkswagen Komuniciranje </w:t>
      </w:r>
      <w:r>
        <w:rPr>
          <w:sz w:val="14"/>
        </w:rPr>
        <w:br/>
      </w:r>
      <w:proofErr w:type="spellStart"/>
      <w:r>
        <w:rPr>
          <w:sz w:val="14"/>
        </w:rPr>
        <w:t>Jörn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Roggenbuck</w:t>
      </w:r>
      <w:proofErr w:type="spellEnd"/>
    </w:p>
    <w:p w14:paraId="6EB67CE8" w14:textId="77777777" w:rsidR="00074E51" w:rsidRDefault="005D1EC5">
      <w:pPr>
        <w:ind w:left="118"/>
        <w:rPr>
          <w:sz w:val="14"/>
        </w:rPr>
      </w:pPr>
      <w:r>
        <w:rPr>
          <w:sz w:val="14"/>
        </w:rPr>
        <w:t>Tiskovni predstavnik za znamko Volkswagen in prodajo/marketing</w:t>
      </w:r>
    </w:p>
    <w:p w14:paraId="69E2D4D4" w14:textId="77777777" w:rsidR="00074E51" w:rsidRDefault="005D1EC5">
      <w:pPr>
        <w:spacing w:line="170" w:lineRule="exact"/>
        <w:ind w:left="118"/>
        <w:rPr>
          <w:sz w:val="14"/>
        </w:rPr>
      </w:pPr>
      <w:r>
        <w:rPr>
          <w:sz w:val="14"/>
        </w:rPr>
        <w:t>Tel.: +49-173-37607-55</w:t>
      </w:r>
    </w:p>
    <w:p w14:paraId="3E0BAF4B" w14:textId="77777777" w:rsidR="00074E51" w:rsidRDefault="000D5D28">
      <w:pPr>
        <w:ind w:left="118"/>
        <w:rPr>
          <w:sz w:val="14"/>
        </w:rPr>
      </w:pPr>
      <w:hyperlink r:id="rId10">
        <w:r w:rsidR="005D1EC5">
          <w:rPr>
            <w:sz w:val="14"/>
          </w:rPr>
          <w:t>joern.roggenbuck@volkswagen.de</w:t>
        </w:r>
      </w:hyperlink>
    </w:p>
    <w:p w14:paraId="6150A7C3" w14:textId="77777777" w:rsidR="00074E51" w:rsidRDefault="00074E51">
      <w:pPr>
        <w:pStyle w:val="Telobesedila"/>
        <w:spacing w:before="11"/>
        <w:rPr>
          <w:sz w:val="13"/>
        </w:rPr>
      </w:pPr>
    </w:p>
    <w:p w14:paraId="6E40C3AC" w14:textId="77777777" w:rsidR="00074E51" w:rsidRDefault="005D1EC5">
      <w:pPr>
        <w:ind w:left="118"/>
        <w:rPr>
          <w:sz w:val="14"/>
        </w:rPr>
      </w:pPr>
      <w:r>
        <w:rPr>
          <w:sz w:val="14"/>
        </w:rPr>
        <w:t xml:space="preserve">Volkswagen Komuniciranje </w:t>
      </w:r>
      <w:r>
        <w:rPr>
          <w:sz w:val="14"/>
        </w:rPr>
        <w:br/>
      </w:r>
      <w:proofErr w:type="spellStart"/>
      <w:r>
        <w:rPr>
          <w:sz w:val="14"/>
        </w:rPr>
        <w:t>Christoph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Oemisch</w:t>
      </w:r>
      <w:proofErr w:type="spellEnd"/>
    </w:p>
    <w:p w14:paraId="459F8389" w14:textId="77777777" w:rsidR="00074E51" w:rsidRDefault="005D1EC5">
      <w:pPr>
        <w:spacing w:line="242" w:lineRule="auto"/>
        <w:ind w:left="118" w:right="699"/>
        <w:rPr>
          <w:sz w:val="14"/>
        </w:rPr>
      </w:pPr>
      <w:r>
        <w:rPr>
          <w:sz w:val="14"/>
        </w:rPr>
        <w:t xml:space="preserve">Tiskovni predstavnik za finance in prodajo </w:t>
      </w:r>
      <w:r>
        <w:rPr>
          <w:sz w:val="14"/>
        </w:rPr>
        <w:br/>
        <w:t>Tel.: +49-5361-9-18895</w:t>
      </w:r>
    </w:p>
    <w:p w14:paraId="138607E6" w14:textId="77777777" w:rsidR="00074E51" w:rsidRDefault="000D5D28">
      <w:pPr>
        <w:spacing w:line="169" w:lineRule="exact"/>
        <w:ind w:left="118"/>
        <w:rPr>
          <w:sz w:val="14"/>
        </w:rPr>
      </w:pPr>
      <w:hyperlink r:id="rId11">
        <w:r w:rsidR="005D1EC5">
          <w:rPr>
            <w:sz w:val="14"/>
          </w:rPr>
          <w:t>christoph.oemisch@volkswagen.de</w:t>
        </w:r>
      </w:hyperlink>
    </w:p>
    <w:p w14:paraId="17E9AFF7" w14:textId="77777777" w:rsidR="00074E51" w:rsidRDefault="005D1EC5">
      <w:pPr>
        <w:pStyle w:val="Telobesedila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F2E1AF" wp14:editId="33C8D6EF">
            <wp:simplePos x="0" y="0"/>
            <wp:positionH relativeFrom="page">
              <wp:posOffset>5734811</wp:posOffset>
            </wp:positionH>
            <wp:positionV relativeFrom="paragraph">
              <wp:posOffset>145139</wp:posOffset>
            </wp:positionV>
            <wp:extent cx="134390" cy="1269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90" cy="12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AEA58EE" wp14:editId="4B626E96">
            <wp:simplePos x="0" y="0"/>
            <wp:positionH relativeFrom="page">
              <wp:posOffset>5933440</wp:posOffset>
            </wp:positionH>
            <wp:positionV relativeFrom="paragraph">
              <wp:posOffset>145139</wp:posOffset>
            </wp:positionV>
            <wp:extent cx="222506" cy="126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6" cy="12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A395F50" wp14:editId="260A4C57">
            <wp:simplePos x="0" y="0"/>
            <wp:positionH relativeFrom="page">
              <wp:posOffset>6224897</wp:posOffset>
            </wp:positionH>
            <wp:positionV relativeFrom="paragraph">
              <wp:posOffset>145139</wp:posOffset>
            </wp:positionV>
            <wp:extent cx="293542" cy="1269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42" cy="12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04D0D" w14:textId="77777777" w:rsidR="00074E51" w:rsidRDefault="00074E51">
      <w:pPr>
        <w:pStyle w:val="Telobesedila"/>
        <w:spacing w:before="5"/>
        <w:rPr>
          <w:sz w:val="12"/>
        </w:rPr>
      </w:pPr>
    </w:p>
    <w:p w14:paraId="3B68E003" w14:textId="77777777" w:rsidR="00074E51" w:rsidRDefault="005D1EC5">
      <w:pPr>
        <w:spacing w:line="171" w:lineRule="exact"/>
        <w:ind w:left="118"/>
        <w:rPr>
          <w:sz w:val="14"/>
        </w:rPr>
      </w:pPr>
      <w:r>
        <w:rPr>
          <w:sz w:val="14"/>
        </w:rPr>
        <w:t>Več na</w:t>
      </w:r>
    </w:p>
    <w:p w14:paraId="4166A955" w14:textId="77777777" w:rsidR="00074E51" w:rsidRDefault="000D5D28">
      <w:pPr>
        <w:ind w:left="118"/>
        <w:rPr>
          <w:sz w:val="14"/>
        </w:rPr>
      </w:pPr>
      <w:hyperlink r:id="rId15">
        <w:r w:rsidR="005D1EC5">
          <w:rPr>
            <w:sz w:val="14"/>
          </w:rPr>
          <w:t>volkswagen-newsroom.com</w:t>
        </w:r>
      </w:hyperlink>
    </w:p>
    <w:p w14:paraId="1A7AFE58" w14:textId="77777777" w:rsidR="00074E51" w:rsidRDefault="00074E51">
      <w:pPr>
        <w:rPr>
          <w:sz w:val="14"/>
        </w:rPr>
        <w:sectPr w:rsidR="00074E51">
          <w:type w:val="continuous"/>
          <w:pgSz w:w="11910" w:h="16840"/>
          <w:pgMar w:top="1880" w:right="660" w:bottom="1000" w:left="1300" w:header="708" w:footer="708" w:gutter="0"/>
          <w:cols w:num="2" w:space="708" w:equalWidth="0">
            <w:col w:w="7227" w:space="387"/>
            <w:col w:w="2336"/>
          </w:cols>
        </w:sectPr>
      </w:pPr>
    </w:p>
    <w:p w14:paraId="7B7C2EFC" w14:textId="77777777" w:rsidR="00074E51" w:rsidRDefault="00074E51">
      <w:pPr>
        <w:pStyle w:val="Telobesedila"/>
        <w:rPr>
          <w:sz w:val="20"/>
        </w:rPr>
      </w:pPr>
    </w:p>
    <w:p w14:paraId="66238284" w14:textId="77777777" w:rsidR="00074E51" w:rsidRDefault="00074E51">
      <w:pPr>
        <w:pStyle w:val="Telobesedila"/>
        <w:rPr>
          <w:sz w:val="20"/>
        </w:rPr>
      </w:pPr>
    </w:p>
    <w:p w14:paraId="7B52DD4A" w14:textId="77777777" w:rsidR="00074E51" w:rsidRDefault="00074E51">
      <w:pPr>
        <w:pStyle w:val="Telobesedila"/>
        <w:rPr>
          <w:sz w:val="20"/>
        </w:rPr>
      </w:pPr>
    </w:p>
    <w:p w14:paraId="350049D5" w14:textId="77777777" w:rsidR="00074E51" w:rsidRDefault="00074E51">
      <w:pPr>
        <w:pStyle w:val="Telobesedila"/>
        <w:rPr>
          <w:sz w:val="20"/>
        </w:rPr>
      </w:pPr>
    </w:p>
    <w:p w14:paraId="671D4439" w14:textId="77777777" w:rsidR="00074E51" w:rsidRDefault="00074E51">
      <w:pPr>
        <w:pStyle w:val="Telobesedila"/>
        <w:rPr>
          <w:sz w:val="20"/>
        </w:rPr>
      </w:pPr>
    </w:p>
    <w:p w14:paraId="68CF225C" w14:textId="77777777" w:rsidR="00074E51" w:rsidRDefault="00074E51">
      <w:pPr>
        <w:pStyle w:val="Telobesedila"/>
        <w:spacing w:before="10"/>
        <w:rPr>
          <w:sz w:val="14"/>
        </w:rPr>
      </w:pPr>
    </w:p>
    <w:p w14:paraId="6D661396" w14:textId="3B584BEF" w:rsidR="00074E51" w:rsidRDefault="005D1EC5" w:rsidP="00687EB5">
      <w:pPr>
        <w:pStyle w:val="Telobesedila"/>
        <w:spacing w:before="100"/>
        <w:ind w:left="118" w:right="2579"/>
      </w:pPr>
      <w:r>
        <w:rPr>
          <w:b/>
        </w:rPr>
        <w:t xml:space="preserve">ID.3 se je iz nič povzpel na vrh prodajnih lestvic v številnih evropskih državah </w:t>
      </w:r>
      <w:r>
        <w:br/>
        <w:t xml:space="preserve">V letu 2020 je Volkswagen Osebna vozila na trg pripeljal devet novih električnih in </w:t>
      </w:r>
      <w:proofErr w:type="spellStart"/>
      <w:r>
        <w:t>priključnohibridnih</w:t>
      </w:r>
      <w:proofErr w:type="spellEnd"/>
      <w:r>
        <w:t xml:space="preserve"> modelov. Delež baterijskih električnih in hibridnih vozil se je s tem v Evropi povzpel na 12,4 odstotka skupne prodaje znamke – potem ko je leta 2019 znašal 2,3 odstotka. Najbolj priljubljen model je bil ID.3 s 56.500 primerki – kljub temu, da je na trg prišel šele septembra, sledila sta mu e-Golf</w:t>
      </w:r>
      <w:r>
        <w:rPr>
          <w:vertAlign w:val="superscript"/>
        </w:rPr>
        <w:t>2</w:t>
      </w:r>
      <w:r>
        <w:t xml:space="preserve"> z okrog 41.300 primerki in </w:t>
      </w:r>
      <w:proofErr w:type="spellStart"/>
      <w:r>
        <w:t>Passat</w:t>
      </w:r>
      <w:proofErr w:type="spellEnd"/>
      <w:r>
        <w:t xml:space="preserve"> GTE</w:t>
      </w:r>
      <w:r>
        <w:rPr>
          <w:vertAlign w:val="superscript"/>
        </w:rPr>
        <w:t>3</w:t>
      </w:r>
      <w:r>
        <w:t xml:space="preserve"> z</w:t>
      </w:r>
      <w:r w:rsidR="00687EB5">
        <w:t> </w:t>
      </w:r>
      <w:r>
        <w:t>okrog 24.000 primerki. Skupno je bilo leta 2020 naročenih okrog 68.800 vozil ID.3, od</w:t>
      </w:r>
      <w:r w:rsidR="00687EB5">
        <w:t> </w:t>
      </w:r>
      <w:r>
        <w:t xml:space="preserve">katerih so jih kupcem dobavili že več kot 56.500 – od tega okrog 14.400 kupcem v Nemčiji. "Z modelom ID.3 smo zadeli v polno," je dejal direktor prodaje </w:t>
      </w:r>
      <w:proofErr w:type="spellStart"/>
      <w:r>
        <w:t>Zellmer</w:t>
      </w:r>
      <w:proofErr w:type="spellEnd"/>
      <w:r>
        <w:t>. "Čeprav je na trg prišel šele v drugi polovici leta, se je v mnogih državah iz nič zavihtel na vrh prodajnih lestvic."</w:t>
      </w:r>
    </w:p>
    <w:p w14:paraId="000A5E7A" w14:textId="77777777" w:rsidR="00074E51" w:rsidRDefault="00074E51" w:rsidP="00687EB5">
      <w:pPr>
        <w:pStyle w:val="Telobesedila"/>
        <w:spacing w:before="9"/>
        <w:ind w:right="2579"/>
      </w:pPr>
    </w:p>
    <w:p w14:paraId="28D720E6" w14:textId="6E32B96C" w:rsidR="00074E51" w:rsidRDefault="005D1EC5" w:rsidP="00687EB5">
      <w:pPr>
        <w:pStyle w:val="Telobesedila"/>
        <w:ind w:left="119" w:right="2579"/>
      </w:pPr>
      <w:r>
        <w:t>Tako je bil ID.3. na Finskem, v Sloveniji in na Norveškem decembra najbolje prodajani baterijski električni model v teh državah. Na Švedskem pa je bil ID.3 decembra 2020 celo absolutno najbolje prodajani avto – ne glede na vrsto pogona. Na Nizozemskem in v Nemčiji je znamki Volkswagen v celotnem letu 2020 uspel skok na prvo mesto med po</w:t>
      </w:r>
      <w:r w:rsidR="00687EB5">
        <w:softHyphen/>
      </w:r>
      <w:r>
        <w:t>pol</w:t>
      </w:r>
      <w:r w:rsidR="00687EB5">
        <w:softHyphen/>
      </w:r>
      <w:r>
        <w:t>noma električnimi avtomobili – v Nemčiji je njen delež med baterijskimi električnimi vozili znašal 23,8 odstotka, na Nizozemskem pa 23 odstotkov.</w:t>
      </w:r>
    </w:p>
    <w:p w14:paraId="6015E255" w14:textId="77777777" w:rsidR="00074E51" w:rsidRDefault="00074E51" w:rsidP="00687EB5">
      <w:pPr>
        <w:pStyle w:val="Telobesedila"/>
        <w:ind w:right="2579"/>
      </w:pPr>
    </w:p>
    <w:p w14:paraId="4298C8FF" w14:textId="77777777" w:rsidR="00074E51" w:rsidRDefault="005D1EC5" w:rsidP="00687EB5">
      <w:pPr>
        <w:pStyle w:val="Telobesedila"/>
        <w:spacing w:line="249" w:lineRule="auto"/>
        <w:ind w:left="119" w:right="2579"/>
      </w:pPr>
      <w:r>
        <w:t>Prodor električne mobilnosti je opazen tudi na nemškem trgu prodaje pravnim osebam: tu se je delež prejetih naročil za baterijska električna vozila in priključne hibride povečal na skupno skoraj 22 odstotkov – potem ko je leta 2018 znašal okrog 2 odstotka in leta 2019 slabih 5 odstotkov.</w:t>
      </w:r>
    </w:p>
    <w:p w14:paraId="7A63AA9C" w14:textId="77777777" w:rsidR="00074E51" w:rsidRDefault="00074E51" w:rsidP="00687EB5">
      <w:pPr>
        <w:pStyle w:val="Telobesedila"/>
        <w:spacing w:before="5"/>
        <w:ind w:right="2579"/>
      </w:pPr>
    </w:p>
    <w:p w14:paraId="5C9529EB" w14:textId="77777777" w:rsidR="00074E51" w:rsidRDefault="005D1EC5" w:rsidP="00687EB5">
      <w:pPr>
        <w:pStyle w:val="Naslov1"/>
        <w:spacing w:line="231" w:lineRule="exact"/>
        <w:ind w:left="119" w:right="2579" w:firstLine="0"/>
        <w:rPr>
          <w:rFonts w:ascii="VW Text Office"/>
        </w:rPr>
      </w:pPr>
      <w:r>
        <w:rPr>
          <w:rFonts w:ascii="VW Text Office"/>
        </w:rPr>
        <w:t>ID.4 in priklju</w:t>
      </w:r>
      <w:r>
        <w:rPr>
          <w:rFonts w:ascii="VW Text Office"/>
        </w:rPr>
        <w:t>č</w:t>
      </w:r>
      <w:r>
        <w:rPr>
          <w:rFonts w:ascii="VW Text Office"/>
        </w:rPr>
        <w:t>ni hibridi naj bi prinesli dodaten zagon v letu 2021</w:t>
      </w:r>
    </w:p>
    <w:p w14:paraId="6175F0F7" w14:textId="2B006603" w:rsidR="00074E51" w:rsidRDefault="005D1EC5" w:rsidP="00687EB5">
      <w:pPr>
        <w:pStyle w:val="Telobesedila"/>
        <w:ind w:left="118" w:right="2579"/>
      </w:pPr>
      <w:r>
        <w:t>Po modelu ID.3 bo Volkswagen sukcesivno na trge pripeljal ID.4</w:t>
      </w:r>
      <w:r>
        <w:rPr>
          <w:vertAlign w:val="superscript"/>
        </w:rPr>
        <w:t>4</w:t>
      </w:r>
      <w:r>
        <w:t xml:space="preserve">, že drugi popolnoma električni model znamke. To je Volkswagnov prvi popolnoma električni 'avto za ves svet' in kot SUV je povsem v skladu z današnjimi željami kupcev: delež prodaje SUV-modelov v skupni prodaji končnim kupcem se je pri znamki Volkswagen globalno povečal z 29,8 odstotka v letu 2019 na 34,8 odstotka v letu 2020. Klaus </w:t>
      </w:r>
      <w:proofErr w:type="spellStart"/>
      <w:r>
        <w:t>Zellmer</w:t>
      </w:r>
      <w:proofErr w:type="spellEnd"/>
      <w:r>
        <w:t>: "Za leto 2021 smo si zadali cilj, da še bolj povečamo naš globalni tržni delež." Poleg novih baterijskih električ</w:t>
      </w:r>
      <w:r w:rsidR="00687EB5">
        <w:softHyphen/>
      </w:r>
      <w:r>
        <w:t>nih modelov bo temu dodaten zagon dala tudi ofenziva hibridov, ki se je začela leta 2020.</w:t>
      </w:r>
    </w:p>
    <w:p w14:paraId="04AA1059" w14:textId="77777777" w:rsidR="00074E51" w:rsidRDefault="00074E51" w:rsidP="00687EB5">
      <w:pPr>
        <w:pStyle w:val="Telobesedila"/>
        <w:spacing w:before="1"/>
        <w:ind w:right="2579"/>
        <w:rPr>
          <w:sz w:val="21"/>
        </w:rPr>
      </w:pPr>
    </w:p>
    <w:p w14:paraId="0B41C6EE" w14:textId="77777777" w:rsidR="00074E51" w:rsidRDefault="005D1EC5">
      <w:pPr>
        <w:ind w:left="188"/>
        <w:rPr>
          <w:rFonts w:ascii="VW Text" w:hAnsi="VW Text"/>
          <w:b/>
        </w:rPr>
      </w:pPr>
      <w:r>
        <w:rPr>
          <w:rFonts w:ascii="VW Text" w:hAnsi="VW Text"/>
          <w:b/>
        </w:rPr>
        <w:t>Pregled prodaje znamke Volkswagen Osebna vozila:</w:t>
      </w:r>
    </w:p>
    <w:p w14:paraId="75794C75" w14:textId="77777777" w:rsidR="00074E51" w:rsidRDefault="00074E51">
      <w:pPr>
        <w:pStyle w:val="Telobesedila"/>
        <w:spacing w:before="11" w:after="1"/>
        <w:rPr>
          <w:rFonts w:ascii="VW Text"/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49"/>
        <w:gridCol w:w="951"/>
        <w:gridCol w:w="953"/>
        <w:gridCol w:w="1097"/>
        <w:gridCol w:w="1097"/>
        <w:gridCol w:w="953"/>
      </w:tblGrid>
      <w:tr w:rsidR="00074E51" w14:paraId="43750F1A" w14:textId="77777777">
        <w:trPr>
          <w:trHeight w:val="570"/>
        </w:trPr>
        <w:tc>
          <w:tcPr>
            <w:tcW w:w="1985" w:type="dxa"/>
            <w:shd w:val="clear" w:color="auto" w:fill="D9D9D9"/>
          </w:tcPr>
          <w:p w14:paraId="497726F4" w14:textId="6762E50C" w:rsidR="00074E51" w:rsidRDefault="005D1EC5" w:rsidP="00687EB5">
            <w:pPr>
              <w:pStyle w:val="TableParagraph"/>
              <w:spacing w:line="240" w:lineRule="auto"/>
              <w:ind w:left="167" w:right="0" w:hanging="41"/>
              <w:jc w:val="left"/>
              <w:rPr>
                <w:b/>
              </w:rPr>
            </w:pPr>
            <w:r>
              <w:rPr>
                <w:b/>
              </w:rPr>
              <w:t>Prodaja končnim kupcem</w:t>
            </w:r>
          </w:p>
        </w:tc>
        <w:tc>
          <w:tcPr>
            <w:tcW w:w="1049" w:type="dxa"/>
            <w:shd w:val="clear" w:color="auto" w:fill="D9D9D9"/>
          </w:tcPr>
          <w:p w14:paraId="7B1E419E" w14:textId="77777777" w:rsidR="00074E51" w:rsidRDefault="005D1EC5">
            <w:pPr>
              <w:pStyle w:val="TableParagraph"/>
              <w:spacing w:line="240" w:lineRule="auto"/>
              <w:ind w:left="201" w:right="0"/>
              <w:jc w:val="left"/>
              <w:rPr>
                <w:b/>
              </w:rPr>
            </w:pPr>
            <w:r>
              <w:rPr>
                <w:b/>
              </w:rPr>
              <w:t>Dec. 2019</w:t>
            </w:r>
          </w:p>
        </w:tc>
        <w:tc>
          <w:tcPr>
            <w:tcW w:w="951" w:type="dxa"/>
            <w:shd w:val="clear" w:color="auto" w:fill="D9D9D9"/>
          </w:tcPr>
          <w:p w14:paraId="52C84894" w14:textId="77777777" w:rsidR="00074E51" w:rsidRDefault="005D1EC5">
            <w:pPr>
              <w:pStyle w:val="TableParagraph"/>
              <w:spacing w:line="240" w:lineRule="auto"/>
              <w:ind w:left="153" w:right="0"/>
              <w:jc w:val="left"/>
              <w:rPr>
                <w:b/>
              </w:rPr>
            </w:pPr>
            <w:r>
              <w:rPr>
                <w:b/>
              </w:rPr>
              <w:t>Dec. 2020</w:t>
            </w:r>
          </w:p>
        </w:tc>
        <w:tc>
          <w:tcPr>
            <w:tcW w:w="953" w:type="dxa"/>
            <w:shd w:val="clear" w:color="auto" w:fill="D9D9D9"/>
          </w:tcPr>
          <w:p w14:paraId="68952B1B" w14:textId="77777777" w:rsidR="00074E51" w:rsidRDefault="005D1EC5">
            <w:pPr>
              <w:pStyle w:val="TableParagraph"/>
              <w:spacing w:line="240" w:lineRule="auto"/>
              <w:ind w:left="270" w:right="80" w:hanging="168"/>
              <w:jc w:val="left"/>
              <w:rPr>
                <w:b/>
              </w:rPr>
            </w:pPr>
            <w:r>
              <w:rPr>
                <w:b/>
              </w:rPr>
              <w:t>Razlika v %</w:t>
            </w:r>
          </w:p>
        </w:tc>
        <w:tc>
          <w:tcPr>
            <w:tcW w:w="1097" w:type="dxa"/>
            <w:shd w:val="clear" w:color="auto" w:fill="D9D9D9"/>
          </w:tcPr>
          <w:p w14:paraId="3DA3A6BE" w14:textId="77777777" w:rsidR="00074E51" w:rsidRDefault="005D1EC5">
            <w:pPr>
              <w:pStyle w:val="TableParagraph"/>
              <w:spacing w:line="240" w:lineRule="auto"/>
              <w:ind w:left="303" w:right="0"/>
              <w:jc w:val="lef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7" w:type="dxa"/>
            <w:shd w:val="clear" w:color="auto" w:fill="D9D9D9"/>
          </w:tcPr>
          <w:p w14:paraId="4A408B22" w14:textId="77777777" w:rsidR="00074E51" w:rsidRDefault="005D1EC5">
            <w:pPr>
              <w:pStyle w:val="TableParagraph"/>
              <w:spacing w:line="240" w:lineRule="auto"/>
              <w:ind w:left="303" w:right="0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53" w:type="dxa"/>
            <w:shd w:val="clear" w:color="auto" w:fill="D9D9D9"/>
          </w:tcPr>
          <w:p w14:paraId="29267577" w14:textId="77777777" w:rsidR="00074E51" w:rsidRDefault="005D1EC5">
            <w:pPr>
              <w:pStyle w:val="TableParagraph"/>
              <w:spacing w:line="240" w:lineRule="auto"/>
              <w:ind w:left="269" w:right="81" w:hanging="168"/>
              <w:jc w:val="left"/>
              <w:rPr>
                <w:b/>
              </w:rPr>
            </w:pPr>
            <w:r>
              <w:rPr>
                <w:b/>
              </w:rPr>
              <w:t>Razlika v %</w:t>
            </w:r>
          </w:p>
        </w:tc>
      </w:tr>
      <w:tr w:rsidR="00074E51" w14:paraId="2E23D132" w14:textId="77777777">
        <w:trPr>
          <w:trHeight w:val="268"/>
        </w:trPr>
        <w:tc>
          <w:tcPr>
            <w:tcW w:w="1985" w:type="dxa"/>
            <w:shd w:val="clear" w:color="auto" w:fill="D9D9D9"/>
          </w:tcPr>
          <w:p w14:paraId="7CD12D1C" w14:textId="77777777" w:rsidR="00074E51" w:rsidRDefault="005D1EC5">
            <w:pPr>
              <w:pStyle w:val="TableParagraph"/>
              <w:ind w:left="69" w:right="0"/>
              <w:jc w:val="left"/>
              <w:rPr>
                <w:b/>
              </w:rPr>
            </w:pPr>
            <w:r>
              <w:rPr>
                <w:b/>
              </w:rPr>
              <w:t>Zahodna Evropa</w:t>
            </w:r>
          </w:p>
        </w:tc>
        <w:tc>
          <w:tcPr>
            <w:tcW w:w="1049" w:type="dxa"/>
          </w:tcPr>
          <w:p w14:paraId="7FBC951C" w14:textId="77777777" w:rsidR="00074E51" w:rsidRDefault="005D1EC5">
            <w:pPr>
              <w:pStyle w:val="TableParagraph"/>
              <w:ind w:right="59"/>
            </w:pPr>
            <w:r>
              <w:t>116500</w:t>
            </w:r>
          </w:p>
        </w:tc>
        <w:tc>
          <w:tcPr>
            <w:tcW w:w="951" w:type="dxa"/>
          </w:tcPr>
          <w:p w14:paraId="00B162D0" w14:textId="77777777" w:rsidR="00074E51" w:rsidRDefault="005D1EC5">
            <w:pPr>
              <w:pStyle w:val="TableParagraph"/>
              <w:ind w:right="57"/>
            </w:pPr>
            <w:r>
              <w:t>139300</w:t>
            </w:r>
          </w:p>
        </w:tc>
        <w:tc>
          <w:tcPr>
            <w:tcW w:w="953" w:type="dxa"/>
          </w:tcPr>
          <w:p w14:paraId="302880FB" w14:textId="77777777" w:rsidR="00074E51" w:rsidRDefault="005D1EC5">
            <w:pPr>
              <w:pStyle w:val="TableParagraph"/>
            </w:pPr>
            <w:r>
              <w:t>+19,5 %</w:t>
            </w:r>
          </w:p>
        </w:tc>
        <w:tc>
          <w:tcPr>
            <w:tcW w:w="1097" w:type="dxa"/>
          </w:tcPr>
          <w:p w14:paraId="1CE8F89A" w14:textId="77777777" w:rsidR="00074E51" w:rsidRDefault="005D1EC5">
            <w:pPr>
              <w:pStyle w:val="TableParagraph"/>
              <w:ind w:right="57"/>
            </w:pPr>
            <w:r>
              <w:t>1496800</w:t>
            </w:r>
          </w:p>
        </w:tc>
        <w:tc>
          <w:tcPr>
            <w:tcW w:w="1097" w:type="dxa"/>
          </w:tcPr>
          <w:p w14:paraId="3095DBA3" w14:textId="77777777" w:rsidR="00074E51" w:rsidRDefault="005D1EC5">
            <w:pPr>
              <w:pStyle w:val="TableParagraph"/>
              <w:ind w:right="57"/>
            </w:pPr>
            <w:r>
              <w:t>1146300</w:t>
            </w:r>
          </w:p>
        </w:tc>
        <w:tc>
          <w:tcPr>
            <w:tcW w:w="953" w:type="dxa"/>
          </w:tcPr>
          <w:p w14:paraId="0017DA71" w14:textId="77777777" w:rsidR="00074E51" w:rsidRDefault="005D1EC5">
            <w:pPr>
              <w:pStyle w:val="TableParagraph"/>
              <w:ind w:right="59"/>
            </w:pPr>
            <w:r>
              <w:t>–23,4 %</w:t>
            </w:r>
          </w:p>
        </w:tc>
      </w:tr>
      <w:tr w:rsidR="00074E51" w14:paraId="6BA13C87" w14:textId="77777777">
        <w:trPr>
          <w:trHeight w:val="534"/>
        </w:trPr>
        <w:tc>
          <w:tcPr>
            <w:tcW w:w="1985" w:type="dxa"/>
            <w:shd w:val="clear" w:color="auto" w:fill="D9D9D9"/>
          </w:tcPr>
          <w:p w14:paraId="2F1D2679" w14:textId="77777777" w:rsidR="00074E51" w:rsidRDefault="005D1EC5" w:rsidP="00687EB5">
            <w:pPr>
              <w:pStyle w:val="TableParagraph"/>
              <w:spacing w:before="4" w:line="268" w:lineRule="exact"/>
              <w:ind w:left="69" w:right="113"/>
              <w:jc w:val="left"/>
              <w:rPr>
                <w:b/>
              </w:rPr>
            </w:pPr>
            <w:r>
              <w:rPr>
                <w:b/>
              </w:rPr>
              <w:t>Srednja in Vzhodna Evropa</w:t>
            </w:r>
          </w:p>
        </w:tc>
        <w:tc>
          <w:tcPr>
            <w:tcW w:w="1049" w:type="dxa"/>
          </w:tcPr>
          <w:p w14:paraId="0C59BB60" w14:textId="77777777" w:rsidR="00074E51" w:rsidRDefault="00074E51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697611AD" w14:textId="77777777" w:rsidR="00074E51" w:rsidRDefault="005D1EC5">
            <w:pPr>
              <w:pStyle w:val="TableParagraph"/>
              <w:spacing w:before="0"/>
            </w:pPr>
            <w:r>
              <w:t>23700</w:t>
            </w:r>
          </w:p>
        </w:tc>
        <w:tc>
          <w:tcPr>
            <w:tcW w:w="951" w:type="dxa"/>
          </w:tcPr>
          <w:p w14:paraId="7190FA17" w14:textId="77777777" w:rsidR="00074E51" w:rsidRDefault="00074E51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61D73D96" w14:textId="77777777" w:rsidR="00074E51" w:rsidRDefault="005D1EC5">
            <w:pPr>
              <w:pStyle w:val="TableParagraph"/>
              <w:spacing w:before="0"/>
              <w:ind w:right="56"/>
            </w:pPr>
            <w:r>
              <w:t>21600</w:t>
            </w:r>
          </w:p>
        </w:tc>
        <w:tc>
          <w:tcPr>
            <w:tcW w:w="953" w:type="dxa"/>
          </w:tcPr>
          <w:p w14:paraId="19629FCD" w14:textId="77777777" w:rsidR="00074E51" w:rsidRDefault="00074E51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77993C0F" w14:textId="77777777" w:rsidR="00074E51" w:rsidRDefault="005D1EC5">
            <w:pPr>
              <w:pStyle w:val="TableParagraph"/>
              <w:spacing w:before="0"/>
            </w:pPr>
            <w:r>
              <w:t>–8,6 %</w:t>
            </w:r>
          </w:p>
        </w:tc>
        <w:tc>
          <w:tcPr>
            <w:tcW w:w="1097" w:type="dxa"/>
          </w:tcPr>
          <w:p w14:paraId="4CA1FB51" w14:textId="77777777" w:rsidR="00074E51" w:rsidRDefault="00074E51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7D33339B" w14:textId="77777777" w:rsidR="00074E51" w:rsidRDefault="005D1EC5">
            <w:pPr>
              <w:pStyle w:val="TableParagraph"/>
              <w:spacing w:before="0"/>
            </w:pPr>
            <w:r>
              <w:t>267700</w:t>
            </w:r>
          </w:p>
        </w:tc>
        <w:tc>
          <w:tcPr>
            <w:tcW w:w="1097" w:type="dxa"/>
          </w:tcPr>
          <w:p w14:paraId="304FB1B4" w14:textId="77777777" w:rsidR="00074E51" w:rsidRDefault="00074E51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7C610B8C" w14:textId="77777777" w:rsidR="00074E51" w:rsidRDefault="005D1EC5">
            <w:pPr>
              <w:pStyle w:val="TableParagraph"/>
              <w:spacing w:before="0"/>
            </w:pPr>
            <w:r>
              <w:t>222300</w:t>
            </w:r>
          </w:p>
        </w:tc>
        <w:tc>
          <w:tcPr>
            <w:tcW w:w="953" w:type="dxa"/>
          </w:tcPr>
          <w:p w14:paraId="3204ECCD" w14:textId="77777777" w:rsidR="00074E51" w:rsidRDefault="00074E51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01FD4087" w14:textId="77777777" w:rsidR="00074E51" w:rsidRDefault="005D1EC5">
            <w:pPr>
              <w:pStyle w:val="TableParagraph"/>
              <w:spacing w:before="0"/>
              <w:ind w:right="59"/>
            </w:pPr>
            <w:r>
              <w:t>–17,0 %</w:t>
            </w:r>
          </w:p>
        </w:tc>
      </w:tr>
      <w:tr w:rsidR="00074E51" w14:paraId="4AA489AE" w14:textId="77777777">
        <w:trPr>
          <w:trHeight w:val="263"/>
        </w:trPr>
        <w:tc>
          <w:tcPr>
            <w:tcW w:w="1985" w:type="dxa"/>
            <w:shd w:val="clear" w:color="auto" w:fill="D9D9D9"/>
          </w:tcPr>
          <w:p w14:paraId="239BFDCF" w14:textId="77777777" w:rsidR="00074E51" w:rsidRDefault="005D1EC5">
            <w:pPr>
              <w:pStyle w:val="TableParagraph"/>
              <w:spacing w:before="0" w:line="243" w:lineRule="exact"/>
              <w:ind w:left="69" w:right="0"/>
              <w:jc w:val="left"/>
              <w:rPr>
                <w:b/>
              </w:rPr>
            </w:pPr>
            <w:r>
              <w:rPr>
                <w:b/>
              </w:rPr>
              <w:t>Severna Amerika</w:t>
            </w:r>
          </w:p>
        </w:tc>
        <w:tc>
          <w:tcPr>
            <w:tcW w:w="1049" w:type="dxa"/>
          </w:tcPr>
          <w:p w14:paraId="3264B4DC" w14:textId="77777777" w:rsidR="00074E51" w:rsidRDefault="005D1EC5">
            <w:pPr>
              <w:pStyle w:val="TableParagraph"/>
              <w:spacing w:before="0" w:line="243" w:lineRule="exact"/>
            </w:pPr>
            <w:r>
              <w:t>45800</w:t>
            </w:r>
          </w:p>
        </w:tc>
        <w:tc>
          <w:tcPr>
            <w:tcW w:w="951" w:type="dxa"/>
          </w:tcPr>
          <w:p w14:paraId="5C7B1A69" w14:textId="77777777" w:rsidR="00074E51" w:rsidRDefault="005D1EC5">
            <w:pPr>
              <w:pStyle w:val="TableParagraph"/>
              <w:spacing w:before="0" w:line="243" w:lineRule="exact"/>
              <w:ind w:right="56"/>
            </w:pPr>
            <w:r>
              <w:t>52500</w:t>
            </w:r>
          </w:p>
        </w:tc>
        <w:tc>
          <w:tcPr>
            <w:tcW w:w="953" w:type="dxa"/>
          </w:tcPr>
          <w:p w14:paraId="79B11AB6" w14:textId="77777777" w:rsidR="00074E51" w:rsidRDefault="005D1EC5">
            <w:pPr>
              <w:pStyle w:val="TableParagraph"/>
              <w:spacing w:before="0" w:line="243" w:lineRule="exact"/>
            </w:pPr>
            <w:r>
              <w:t>+14,7 %</w:t>
            </w:r>
          </w:p>
        </w:tc>
        <w:tc>
          <w:tcPr>
            <w:tcW w:w="1097" w:type="dxa"/>
          </w:tcPr>
          <w:p w14:paraId="1A5ABFE4" w14:textId="77777777" w:rsidR="00074E51" w:rsidRDefault="005D1EC5">
            <w:pPr>
              <w:pStyle w:val="TableParagraph"/>
              <w:spacing w:before="0" w:line="243" w:lineRule="exact"/>
            </w:pPr>
            <w:r>
              <w:t>564800</w:t>
            </w:r>
          </w:p>
        </w:tc>
        <w:tc>
          <w:tcPr>
            <w:tcW w:w="1097" w:type="dxa"/>
          </w:tcPr>
          <w:p w14:paraId="26804667" w14:textId="77777777" w:rsidR="00074E51" w:rsidRDefault="005D1EC5">
            <w:pPr>
              <w:pStyle w:val="TableParagraph"/>
              <w:spacing w:before="0" w:line="243" w:lineRule="exact"/>
            </w:pPr>
            <w:r>
              <w:t>468400</w:t>
            </w:r>
          </w:p>
        </w:tc>
        <w:tc>
          <w:tcPr>
            <w:tcW w:w="953" w:type="dxa"/>
          </w:tcPr>
          <w:p w14:paraId="22199637" w14:textId="77777777" w:rsidR="00074E51" w:rsidRDefault="005D1EC5">
            <w:pPr>
              <w:pStyle w:val="TableParagraph"/>
              <w:spacing w:before="0" w:line="243" w:lineRule="exact"/>
              <w:ind w:right="59"/>
            </w:pPr>
            <w:r>
              <w:t>–17,1 %</w:t>
            </w:r>
          </w:p>
        </w:tc>
      </w:tr>
      <w:tr w:rsidR="00074E51" w14:paraId="572EC265" w14:textId="77777777">
        <w:trPr>
          <w:trHeight w:val="268"/>
        </w:trPr>
        <w:tc>
          <w:tcPr>
            <w:tcW w:w="1985" w:type="dxa"/>
            <w:shd w:val="clear" w:color="auto" w:fill="D9D9D9"/>
          </w:tcPr>
          <w:p w14:paraId="2542BFEA" w14:textId="77777777" w:rsidR="00074E51" w:rsidRDefault="005D1EC5">
            <w:pPr>
              <w:pStyle w:val="TableParagraph"/>
              <w:ind w:left="69" w:right="0"/>
              <w:jc w:val="left"/>
              <w:rPr>
                <w:b/>
              </w:rPr>
            </w:pPr>
            <w:r>
              <w:rPr>
                <w:b/>
              </w:rPr>
              <w:t>Južna Amerika</w:t>
            </w:r>
          </w:p>
        </w:tc>
        <w:tc>
          <w:tcPr>
            <w:tcW w:w="1049" w:type="dxa"/>
          </w:tcPr>
          <w:p w14:paraId="0CC93679" w14:textId="77777777" w:rsidR="00074E51" w:rsidRDefault="005D1EC5">
            <w:pPr>
              <w:pStyle w:val="TableParagraph"/>
            </w:pPr>
            <w:r>
              <w:t>46600</w:t>
            </w:r>
          </w:p>
        </w:tc>
        <w:tc>
          <w:tcPr>
            <w:tcW w:w="951" w:type="dxa"/>
          </w:tcPr>
          <w:p w14:paraId="1E3B77DB" w14:textId="77777777" w:rsidR="00074E51" w:rsidRDefault="005D1EC5">
            <w:pPr>
              <w:pStyle w:val="TableParagraph"/>
              <w:ind w:right="56"/>
            </w:pPr>
            <w:r>
              <w:t>43000</w:t>
            </w:r>
          </w:p>
        </w:tc>
        <w:tc>
          <w:tcPr>
            <w:tcW w:w="953" w:type="dxa"/>
          </w:tcPr>
          <w:p w14:paraId="6A71D35D" w14:textId="77777777" w:rsidR="00074E51" w:rsidRDefault="005D1EC5">
            <w:pPr>
              <w:pStyle w:val="TableParagraph"/>
            </w:pPr>
            <w:r>
              <w:t>–7,8 %</w:t>
            </w:r>
          </w:p>
        </w:tc>
        <w:tc>
          <w:tcPr>
            <w:tcW w:w="1097" w:type="dxa"/>
          </w:tcPr>
          <w:p w14:paraId="2BC68994" w14:textId="77777777" w:rsidR="00074E51" w:rsidRDefault="005D1EC5">
            <w:pPr>
              <w:pStyle w:val="TableParagraph"/>
            </w:pPr>
            <w:r>
              <w:t>491500</w:t>
            </w:r>
          </w:p>
        </w:tc>
        <w:tc>
          <w:tcPr>
            <w:tcW w:w="1097" w:type="dxa"/>
          </w:tcPr>
          <w:p w14:paraId="7A98B0BA" w14:textId="77777777" w:rsidR="00074E51" w:rsidRDefault="005D1EC5">
            <w:pPr>
              <w:pStyle w:val="TableParagraph"/>
            </w:pPr>
            <w:r>
              <w:t>392300</w:t>
            </w:r>
          </w:p>
        </w:tc>
        <w:tc>
          <w:tcPr>
            <w:tcW w:w="953" w:type="dxa"/>
          </w:tcPr>
          <w:p w14:paraId="4EC0D817" w14:textId="77777777" w:rsidR="00074E51" w:rsidRDefault="005D1EC5">
            <w:pPr>
              <w:pStyle w:val="TableParagraph"/>
              <w:ind w:right="59"/>
            </w:pPr>
            <w:r>
              <w:t>–20,2 %</w:t>
            </w:r>
          </w:p>
        </w:tc>
      </w:tr>
      <w:tr w:rsidR="00074E51" w14:paraId="32AACCB9" w14:textId="77777777">
        <w:trPr>
          <w:trHeight w:val="268"/>
        </w:trPr>
        <w:tc>
          <w:tcPr>
            <w:tcW w:w="1985" w:type="dxa"/>
            <w:shd w:val="clear" w:color="auto" w:fill="D9D9D9"/>
          </w:tcPr>
          <w:p w14:paraId="37E486F1" w14:textId="77777777" w:rsidR="00074E51" w:rsidRDefault="005D1EC5">
            <w:pPr>
              <w:pStyle w:val="TableParagraph"/>
              <w:ind w:left="69" w:right="0"/>
              <w:jc w:val="left"/>
              <w:rPr>
                <w:b/>
              </w:rPr>
            </w:pPr>
            <w:r>
              <w:rPr>
                <w:b/>
              </w:rPr>
              <w:t xml:space="preserve">Kitajska </w:t>
            </w:r>
            <w:proofErr w:type="spellStart"/>
            <w:r>
              <w:rPr>
                <w:b/>
              </w:rPr>
              <w:t>vklj</w:t>
            </w:r>
            <w:proofErr w:type="spellEnd"/>
            <w:r>
              <w:rPr>
                <w:b/>
              </w:rPr>
              <w:t>. s HK</w:t>
            </w:r>
          </w:p>
        </w:tc>
        <w:tc>
          <w:tcPr>
            <w:tcW w:w="1049" w:type="dxa"/>
          </w:tcPr>
          <w:p w14:paraId="551994C1" w14:textId="77777777" w:rsidR="00074E51" w:rsidRDefault="005D1EC5">
            <w:pPr>
              <w:pStyle w:val="TableParagraph"/>
              <w:ind w:right="59"/>
            </w:pPr>
            <w:r>
              <w:t>354200</w:t>
            </w:r>
          </w:p>
        </w:tc>
        <w:tc>
          <w:tcPr>
            <w:tcW w:w="951" w:type="dxa"/>
          </w:tcPr>
          <w:p w14:paraId="516C9BB6" w14:textId="77777777" w:rsidR="00074E51" w:rsidRDefault="005D1EC5">
            <w:pPr>
              <w:pStyle w:val="TableParagraph"/>
              <w:ind w:right="57"/>
            </w:pPr>
            <w:r>
              <w:t>320600</w:t>
            </w:r>
          </w:p>
        </w:tc>
        <w:tc>
          <w:tcPr>
            <w:tcW w:w="953" w:type="dxa"/>
          </w:tcPr>
          <w:p w14:paraId="4E9E68A9" w14:textId="77777777" w:rsidR="00074E51" w:rsidRDefault="005D1EC5">
            <w:pPr>
              <w:pStyle w:val="TableParagraph"/>
            </w:pPr>
            <w:r>
              <w:t>–9,5 %</w:t>
            </w:r>
          </w:p>
        </w:tc>
        <w:tc>
          <w:tcPr>
            <w:tcW w:w="1097" w:type="dxa"/>
          </w:tcPr>
          <w:p w14:paraId="2E22098A" w14:textId="77777777" w:rsidR="00074E51" w:rsidRDefault="005D1EC5">
            <w:pPr>
              <w:pStyle w:val="TableParagraph"/>
              <w:ind w:right="57"/>
            </w:pPr>
            <w:r>
              <w:t>3163200</w:t>
            </w:r>
          </w:p>
        </w:tc>
        <w:tc>
          <w:tcPr>
            <w:tcW w:w="1097" w:type="dxa"/>
          </w:tcPr>
          <w:p w14:paraId="6AD4CD6B" w14:textId="77777777" w:rsidR="00074E51" w:rsidRDefault="005D1EC5">
            <w:pPr>
              <w:pStyle w:val="TableParagraph"/>
              <w:ind w:right="57"/>
            </w:pPr>
            <w:r>
              <w:t>2851100</w:t>
            </w:r>
          </w:p>
        </w:tc>
        <w:tc>
          <w:tcPr>
            <w:tcW w:w="953" w:type="dxa"/>
          </w:tcPr>
          <w:p w14:paraId="00D97D5B" w14:textId="77777777" w:rsidR="00074E51" w:rsidRDefault="005D1EC5">
            <w:pPr>
              <w:pStyle w:val="TableParagraph"/>
              <w:ind w:right="59"/>
            </w:pPr>
            <w:r>
              <w:t>–9,9 %</w:t>
            </w:r>
          </w:p>
        </w:tc>
      </w:tr>
      <w:tr w:rsidR="00074E51" w14:paraId="1838FAF3" w14:textId="77777777">
        <w:trPr>
          <w:trHeight w:val="275"/>
        </w:trPr>
        <w:tc>
          <w:tcPr>
            <w:tcW w:w="1985" w:type="dxa"/>
            <w:shd w:val="clear" w:color="auto" w:fill="D9D9D9"/>
          </w:tcPr>
          <w:p w14:paraId="5D7CA5AE" w14:textId="77777777" w:rsidR="00074E51" w:rsidRDefault="005D1EC5">
            <w:pPr>
              <w:pStyle w:val="TableParagraph"/>
              <w:spacing w:before="8"/>
              <w:ind w:left="69" w:right="0"/>
              <w:jc w:val="left"/>
              <w:rPr>
                <w:b/>
              </w:rPr>
            </w:pPr>
            <w:r>
              <w:rPr>
                <w:b/>
              </w:rPr>
              <w:t>Azija–Pacifik Ostalo</w:t>
            </w:r>
          </w:p>
        </w:tc>
        <w:tc>
          <w:tcPr>
            <w:tcW w:w="1049" w:type="dxa"/>
          </w:tcPr>
          <w:p w14:paraId="11ECECB4" w14:textId="77777777" w:rsidR="00074E51" w:rsidRDefault="005D1EC5">
            <w:pPr>
              <w:pStyle w:val="TableParagraph"/>
              <w:spacing w:before="8"/>
            </w:pPr>
            <w:r>
              <w:t>15600</w:t>
            </w:r>
          </w:p>
        </w:tc>
        <w:tc>
          <w:tcPr>
            <w:tcW w:w="951" w:type="dxa"/>
          </w:tcPr>
          <w:p w14:paraId="49416126" w14:textId="77777777" w:rsidR="00074E51" w:rsidRDefault="005D1EC5">
            <w:pPr>
              <w:pStyle w:val="TableParagraph"/>
              <w:spacing w:before="8"/>
              <w:ind w:right="56"/>
            </w:pPr>
            <w:r>
              <w:t>11600</w:t>
            </w:r>
          </w:p>
        </w:tc>
        <w:tc>
          <w:tcPr>
            <w:tcW w:w="953" w:type="dxa"/>
          </w:tcPr>
          <w:p w14:paraId="6C38CBA3" w14:textId="77777777" w:rsidR="00074E51" w:rsidRDefault="005D1EC5">
            <w:pPr>
              <w:pStyle w:val="TableParagraph"/>
              <w:spacing w:before="8"/>
            </w:pPr>
            <w:r>
              <w:t>–25,7 %</w:t>
            </w:r>
          </w:p>
        </w:tc>
        <w:tc>
          <w:tcPr>
            <w:tcW w:w="1097" w:type="dxa"/>
          </w:tcPr>
          <w:p w14:paraId="59E92E70" w14:textId="77777777" w:rsidR="00074E51" w:rsidRDefault="005D1EC5">
            <w:pPr>
              <w:pStyle w:val="TableParagraph"/>
              <w:spacing w:before="8"/>
            </w:pPr>
            <w:r>
              <w:t>149300</w:t>
            </w:r>
          </w:p>
        </w:tc>
        <w:tc>
          <w:tcPr>
            <w:tcW w:w="1097" w:type="dxa"/>
          </w:tcPr>
          <w:p w14:paraId="61A77333" w14:textId="77777777" w:rsidR="00074E51" w:rsidRDefault="005D1EC5">
            <w:pPr>
              <w:pStyle w:val="TableParagraph"/>
              <w:spacing w:before="8"/>
            </w:pPr>
            <w:r>
              <w:t>120500</w:t>
            </w:r>
          </w:p>
        </w:tc>
        <w:tc>
          <w:tcPr>
            <w:tcW w:w="953" w:type="dxa"/>
          </w:tcPr>
          <w:p w14:paraId="6FFB56AC" w14:textId="77777777" w:rsidR="00074E51" w:rsidRDefault="005D1EC5">
            <w:pPr>
              <w:pStyle w:val="TableParagraph"/>
              <w:spacing w:before="8"/>
              <w:ind w:right="59"/>
            </w:pPr>
            <w:r>
              <w:t>–19,3 %</w:t>
            </w:r>
          </w:p>
        </w:tc>
      </w:tr>
      <w:tr w:rsidR="00074E51" w14:paraId="11349C36" w14:textId="77777777">
        <w:trPr>
          <w:trHeight w:val="273"/>
        </w:trPr>
        <w:tc>
          <w:tcPr>
            <w:tcW w:w="1985" w:type="dxa"/>
            <w:shd w:val="clear" w:color="auto" w:fill="D9D9D9"/>
          </w:tcPr>
          <w:p w14:paraId="5CFFF67F" w14:textId="77777777" w:rsidR="00074E51" w:rsidRDefault="005D1EC5">
            <w:pPr>
              <w:pStyle w:val="TableParagraph"/>
              <w:spacing w:before="6"/>
              <w:ind w:left="69" w:right="0"/>
              <w:jc w:val="left"/>
              <w:rPr>
                <w:b/>
              </w:rPr>
            </w:pPr>
            <w:r>
              <w:rPr>
                <w:b/>
              </w:rPr>
              <w:t>Bližnji vzhod/Afrika</w:t>
            </w:r>
          </w:p>
        </w:tc>
        <w:tc>
          <w:tcPr>
            <w:tcW w:w="1049" w:type="dxa"/>
          </w:tcPr>
          <w:p w14:paraId="62A04525" w14:textId="77777777" w:rsidR="00074E51" w:rsidRDefault="005D1EC5">
            <w:pPr>
              <w:pStyle w:val="TableParagraph"/>
              <w:spacing w:before="6"/>
            </w:pPr>
            <w:r>
              <w:t>12900</w:t>
            </w:r>
          </w:p>
        </w:tc>
        <w:tc>
          <w:tcPr>
            <w:tcW w:w="951" w:type="dxa"/>
          </w:tcPr>
          <w:p w14:paraId="39898292" w14:textId="77777777" w:rsidR="00074E51" w:rsidRDefault="005D1EC5">
            <w:pPr>
              <w:pStyle w:val="TableParagraph"/>
              <w:spacing w:before="6"/>
              <w:ind w:right="56"/>
            </w:pPr>
            <w:r>
              <w:t>14500</w:t>
            </w:r>
          </w:p>
        </w:tc>
        <w:tc>
          <w:tcPr>
            <w:tcW w:w="953" w:type="dxa"/>
          </w:tcPr>
          <w:p w14:paraId="6B62E49E" w14:textId="77777777" w:rsidR="00074E51" w:rsidRDefault="005D1EC5">
            <w:pPr>
              <w:pStyle w:val="TableParagraph"/>
              <w:spacing w:before="6"/>
            </w:pPr>
            <w:r>
              <w:t>+12,7 %</w:t>
            </w:r>
          </w:p>
        </w:tc>
        <w:tc>
          <w:tcPr>
            <w:tcW w:w="1097" w:type="dxa"/>
          </w:tcPr>
          <w:p w14:paraId="4BE96979" w14:textId="77777777" w:rsidR="00074E51" w:rsidRDefault="005D1EC5">
            <w:pPr>
              <w:pStyle w:val="TableParagraph"/>
              <w:spacing w:before="6"/>
            </w:pPr>
            <w:r>
              <w:t>145600</w:t>
            </w:r>
          </w:p>
        </w:tc>
        <w:tc>
          <w:tcPr>
            <w:tcW w:w="1097" w:type="dxa"/>
          </w:tcPr>
          <w:p w14:paraId="54802C56" w14:textId="77777777" w:rsidR="00074E51" w:rsidRDefault="005D1EC5">
            <w:pPr>
              <w:pStyle w:val="TableParagraph"/>
              <w:spacing w:before="6"/>
            </w:pPr>
            <w:r>
              <w:t>127100</w:t>
            </w:r>
          </w:p>
        </w:tc>
        <w:tc>
          <w:tcPr>
            <w:tcW w:w="953" w:type="dxa"/>
          </w:tcPr>
          <w:p w14:paraId="5431AFDD" w14:textId="77777777" w:rsidR="00074E51" w:rsidRDefault="005D1EC5">
            <w:pPr>
              <w:pStyle w:val="TableParagraph"/>
              <w:spacing w:before="6"/>
              <w:ind w:right="59"/>
            </w:pPr>
            <w:r>
              <w:t>–12,7 %</w:t>
            </w:r>
          </w:p>
        </w:tc>
      </w:tr>
      <w:tr w:rsidR="00074E51" w14:paraId="0655ED75" w14:textId="77777777">
        <w:trPr>
          <w:trHeight w:val="268"/>
        </w:trPr>
        <w:tc>
          <w:tcPr>
            <w:tcW w:w="1985" w:type="dxa"/>
            <w:shd w:val="clear" w:color="auto" w:fill="D9D9D9"/>
          </w:tcPr>
          <w:p w14:paraId="2A597ED0" w14:textId="77777777" w:rsidR="00074E51" w:rsidRDefault="005D1EC5">
            <w:pPr>
              <w:pStyle w:val="TableParagraph"/>
              <w:ind w:left="69" w:right="0"/>
              <w:jc w:val="left"/>
              <w:rPr>
                <w:b/>
              </w:rPr>
            </w:pPr>
            <w:r>
              <w:rPr>
                <w:b/>
              </w:rPr>
              <w:t>Svet skupaj</w:t>
            </w:r>
          </w:p>
        </w:tc>
        <w:tc>
          <w:tcPr>
            <w:tcW w:w="1049" w:type="dxa"/>
          </w:tcPr>
          <w:p w14:paraId="4662B812" w14:textId="77777777" w:rsidR="00074E51" w:rsidRDefault="005D1EC5">
            <w:pPr>
              <w:pStyle w:val="TableParagraph"/>
              <w:ind w:right="59"/>
            </w:pPr>
            <w:r>
              <w:t>615200</w:t>
            </w:r>
          </w:p>
        </w:tc>
        <w:tc>
          <w:tcPr>
            <w:tcW w:w="951" w:type="dxa"/>
          </w:tcPr>
          <w:p w14:paraId="543C6174" w14:textId="77777777" w:rsidR="00074E51" w:rsidRDefault="005D1EC5">
            <w:pPr>
              <w:pStyle w:val="TableParagraph"/>
              <w:ind w:right="57"/>
            </w:pPr>
            <w:r>
              <w:t>603100</w:t>
            </w:r>
          </w:p>
        </w:tc>
        <w:tc>
          <w:tcPr>
            <w:tcW w:w="953" w:type="dxa"/>
          </w:tcPr>
          <w:p w14:paraId="2B7393F5" w14:textId="77777777" w:rsidR="00074E51" w:rsidRDefault="005D1EC5">
            <w:pPr>
              <w:pStyle w:val="TableParagraph"/>
            </w:pPr>
            <w:r>
              <w:t>–2,0 %</w:t>
            </w:r>
          </w:p>
        </w:tc>
        <w:tc>
          <w:tcPr>
            <w:tcW w:w="1097" w:type="dxa"/>
          </w:tcPr>
          <w:p w14:paraId="0BFFD84D" w14:textId="77777777" w:rsidR="00074E51" w:rsidRDefault="005D1EC5">
            <w:pPr>
              <w:pStyle w:val="TableParagraph"/>
              <w:ind w:right="57"/>
            </w:pPr>
            <w:r>
              <w:t>6279000</w:t>
            </w:r>
          </w:p>
        </w:tc>
        <w:tc>
          <w:tcPr>
            <w:tcW w:w="1097" w:type="dxa"/>
          </w:tcPr>
          <w:p w14:paraId="7119C196" w14:textId="77777777" w:rsidR="00074E51" w:rsidRDefault="005D1EC5">
            <w:pPr>
              <w:pStyle w:val="TableParagraph"/>
              <w:ind w:right="57"/>
            </w:pPr>
            <w:r>
              <w:t>5328000</w:t>
            </w:r>
          </w:p>
        </w:tc>
        <w:tc>
          <w:tcPr>
            <w:tcW w:w="953" w:type="dxa"/>
          </w:tcPr>
          <w:p w14:paraId="04247981" w14:textId="77777777" w:rsidR="00074E51" w:rsidRDefault="005D1EC5">
            <w:pPr>
              <w:pStyle w:val="TableParagraph"/>
              <w:ind w:right="59"/>
            </w:pPr>
            <w:r>
              <w:t>–15,1 %</w:t>
            </w:r>
          </w:p>
        </w:tc>
      </w:tr>
    </w:tbl>
    <w:p w14:paraId="29835FB2" w14:textId="77777777" w:rsidR="00074E51" w:rsidRDefault="00074E51">
      <w:pPr>
        <w:sectPr w:rsidR="00074E51">
          <w:pgSz w:w="11910" w:h="16840"/>
          <w:pgMar w:top="1880" w:right="660" w:bottom="1000" w:left="1300" w:header="638" w:footer="805" w:gutter="0"/>
          <w:cols w:space="708"/>
        </w:sectPr>
      </w:pPr>
    </w:p>
    <w:p w14:paraId="2FFB005D" w14:textId="77777777" w:rsidR="00074E51" w:rsidRDefault="00074E51">
      <w:pPr>
        <w:pStyle w:val="Telobesedila"/>
        <w:rPr>
          <w:rFonts w:ascii="VW Text"/>
          <w:b/>
          <w:sz w:val="20"/>
        </w:rPr>
      </w:pPr>
    </w:p>
    <w:p w14:paraId="4B49BB50" w14:textId="77777777" w:rsidR="00074E51" w:rsidRDefault="00074E51">
      <w:pPr>
        <w:pStyle w:val="Telobesedila"/>
        <w:rPr>
          <w:rFonts w:ascii="VW Text"/>
          <w:b/>
          <w:sz w:val="20"/>
        </w:rPr>
      </w:pPr>
    </w:p>
    <w:p w14:paraId="66A3C97F" w14:textId="77777777" w:rsidR="00074E51" w:rsidRDefault="00074E51">
      <w:pPr>
        <w:pStyle w:val="Telobesedila"/>
        <w:rPr>
          <w:rFonts w:ascii="VW Text"/>
          <w:b/>
          <w:sz w:val="20"/>
        </w:rPr>
      </w:pPr>
    </w:p>
    <w:p w14:paraId="3475FA62" w14:textId="77777777" w:rsidR="00074E51" w:rsidRDefault="00074E51">
      <w:pPr>
        <w:pStyle w:val="Telobesedila"/>
        <w:rPr>
          <w:rFonts w:ascii="VW Text"/>
          <w:b/>
          <w:sz w:val="20"/>
        </w:rPr>
      </w:pPr>
    </w:p>
    <w:p w14:paraId="2D135500" w14:textId="77777777" w:rsidR="00074E51" w:rsidRDefault="00074E51">
      <w:pPr>
        <w:pStyle w:val="Telobesedila"/>
        <w:spacing w:before="9"/>
        <w:rPr>
          <w:rFonts w:ascii="VW Text"/>
          <w:b/>
          <w:sz w:val="21"/>
        </w:rPr>
      </w:pPr>
    </w:p>
    <w:p w14:paraId="59B09AD8" w14:textId="77777777" w:rsidR="00074E51" w:rsidRDefault="005D1EC5">
      <w:pPr>
        <w:pStyle w:val="Telobesedila"/>
        <w:spacing w:line="230" w:lineRule="auto"/>
        <w:ind w:left="118" w:right="2678"/>
      </w:pPr>
      <w:r>
        <w:rPr>
          <w:vertAlign w:val="superscript"/>
        </w:rPr>
        <w:t xml:space="preserve">1 </w:t>
      </w:r>
      <w:r>
        <w:t>ID.3– poraba električne energije v kWh/100 km (NEVC): 15,4–13,5 (kombinirana), emisija CO</w:t>
      </w:r>
      <w:r>
        <w:rPr>
          <w:sz w:val="12"/>
        </w:rPr>
        <w:t>2</w:t>
      </w:r>
      <w:r>
        <w:t xml:space="preserve"> v g/km (kombinirana): 0 .</w:t>
      </w:r>
    </w:p>
    <w:p w14:paraId="673132FF" w14:textId="77777777" w:rsidR="00074E51" w:rsidRDefault="005D1EC5">
      <w:pPr>
        <w:pStyle w:val="Telobesedila"/>
        <w:spacing w:before="8" w:line="230" w:lineRule="auto"/>
        <w:ind w:left="118" w:right="2678" w:hanging="1"/>
      </w:pPr>
      <w:r>
        <w:rPr>
          <w:vertAlign w:val="superscript"/>
        </w:rPr>
        <w:t xml:space="preserve">2 </w:t>
      </w:r>
      <w:r>
        <w:t>e-Golf– poraba električne energije v kWh/100 km (NEVC): 13,8–12,9 (kombinirana), emisija CO</w:t>
      </w:r>
      <w:r>
        <w:rPr>
          <w:sz w:val="12"/>
        </w:rPr>
        <w:t>2</w:t>
      </w:r>
      <w:r>
        <w:t xml:space="preserve"> v g/km (kombinirana): 0  </w:t>
      </w:r>
    </w:p>
    <w:p w14:paraId="657E5B5E" w14:textId="6305AABD" w:rsidR="00074E51" w:rsidRDefault="005D1EC5">
      <w:pPr>
        <w:pStyle w:val="Telobesedila"/>
        <w:spacing w:before="2"/>
        <w:ind w:left="118" w:right="2678" w:hanging="1"/>
      </w:pPr>
      <w:r>
        <w:rPr>
          <w:vertAlign w:val="superscript"/>
        </w:rPr>
        <w:t>3</w:t>
      </w:r>
      <w:r>
        <w:t xml:space="preserve"> </w:t>
      </w:r>
      <w:proofErr w:type="spellStart"/>
      <w:r>
        <w:t>Passat</w:t>
      </w:r>
      <w:proofErr w:type="spellEnd"/>
      <w:r>
        <w:t xml:space="preserve"> GTE – poraba goriva v l/100 km (NEVC): kombinirana 1,5–1,4; poraba električne energije v kWh/100 km: kombinirana 14,2–13,8; emisija CO</w:t>
      </w:r>
      <w:r>
        <w:rPr>
          <w:sz w:val="12"/>
        </w:rPr>
        <w:t>2</w:t>
      </w:r>
      <w:r>
        <w:t xml:space="preserve"> v g/km (kombinirana): </w:t>
      </w:r>
      <w:r w:rsidR="00687EB5">
        <w:br/>
      </w:r>
      <w:r>
        <w:t>34–32 .</w:t>
      </w:r>
    </w:p>
    <w:p w14:paraId="3B841338" w14:textId="77777777" w:rsidR="00074E51" w:rsidRDefault="005D1EC5">
      <w:pPr>
        <w:pStyle w:val="Telobesedila"/>
        <w:spacing w:before="1"/>
        <w:ind w:left="118" w:right="2678"/>
      </w:pPr>
      <w:r>
        <w:rPr>
          <w:vertAlign w:val="superscript"/>
        </w:rPr>
        <w:t xml:space="preserve">4 </w:t>
      </w:r>
      <w:r>
        <w:t>ID.4– poraba električne energije v kWh/100 km (NEVC): 16,9–16,2 (kombinirana), emisija CO</w:t>
      </w:r>
      <w:r>
        <w:rPr>
          <w:sz w:val="12"/>
        </w:rPr>
        <w:t>2</w:t>
      </w:r>
      <w:r>
        <w:t xml:space="preserve"> v g/km (kombinirana): 9  </w:t>
      </w:r>
    </w:p>
    <w:p w14:paraId="54E21EAA" w14:textId="77777777" w:rsidR="00074E51" w:rsidRDefault="00074E51">
      <w:pPr>
        <w:pStyle w:val="Telobesedila"/>
        <w:rPr>
          <w:sz w:val="20"/>
        </w:rPr>
      </w:pPr>
    </w:p>
    <w:p w14:paraId="01BF3900" w14:textId="77777777" w:rsidR="00074E51" w:rsidRDefault="00074E51">
      <w:pPr>
        <w:pStyle w:val="Telobesedila"/>
        <w:rPr>
          <w:sz w:val="20"/>
        </w:rPr>
      </w:pPr>
    </w:p>
    <w:p w14:paraId="1FFA754A" w14:textId="77777777" w:rsidR="00074E51" w:rsidRDefault="00074E51">
      <w:pPr>
        <w:pStyle w:val="Telobesedila"/>
        <w:rPr>
          <w:sz w:val="20"/>
        </w:rPr>
      </w:pPr>
    </w:p>
    <w:p w14:paraId="66726BE1" w14:textId="77777777" w:rsidR="00074E51" w:rsidRDefault="00074E51">
      <w:pPr>
        <w:pStyle w:val="Telobesedila"/>
        <w:rPr>
          <w:sz w:val="20"/>
        </w:rPr>
      </w:pPr>
    </w:p>
    <w:p w14:paraId="4EA178F8" w14:textId="77777777" w:rsidR="00074E51" w:rsidRDefault="00074E51">
      <w:pPr>
        <w:pStyle w:val="Telobesedila"/>
        <w:rPr>
          <w:sz w:val="20"/>
        </w:rPr>
      </w:pPr>
    </w:p>
    <w:p w14:paraId="23AAA0F4" w14:textId="77777777" w:rsidR="00074E51" w:rsidRDefault="00074E51">
      <w:pPr>
        <w:pStyle w:val="Telobesedila"/>
        <w:rPr>
          <w:sz w:val="20"/>
        </w:rPr>
      </w:pPr>
    </w:p>
    <w:p w14:paraId="63ED88D4" w14:textId="77777777" w:rsidR="00074E51" w:rsidRDefault="00074E51">
      <w:pPr>
        <w:pStyle w:val="Telobesedila"/>
        <w:rPr>
          <w:sz w:val="20"/>
        </w:rPr>
      </w:pPr>
    </w:p>
    <w:p w14:paraId="2AA72534" w14:textId="77777777" w:rsidR="00074E51" w:rsidRDefault="00074E51">
      <w:pPr>
        <w:pStyle w:val="Telobesedila"/>
        <w:rPr>
          <w:sz w:val="20"/>
        </w:rPr>
      </w:pPr>
    </w:p>
    <w:p w14:paraId="694AFCDA" w14:textId="77777777" w:rsidR="00074E51" w:rsidRDefault="00074E51">
      <w:pPr>
        <w:pStyle w:val="Telobesedila"/>
        <w:rPr>
          <w:sz w:val="20"/>
        </w:rPr>
      </w:pPr>
    </w:p>
    <w:p w14:paraId="7CD3238A" w14:textId="77777777" w:rsidR="00074E51" w:rsidRDefault="00074E51">
      <w:pPr>
        <w:pStyle w:val="Telobesedila"/>
        <w:rPr>
          <w:sz w:val="20"/>
        </w:rPr>
      </w:pPr>
    </w:p>
    <w:p w14:paraId="4B0757FF" w14:textId="77777777" w:rsidR="00074E51" w:rsidRDefault="00074E51">
      <w:pPr>
        <w:pStyle w:val="Telobesedila"/>
        <w:rPr>
          <w:sz w:val="20"/>
        </w:rPr>
      </w:pPr>
    </w:p>
    <w:p w14:paraId="73C7BD02" w14:textId="77777777" w:rsidR="00074E51" w:rsidRDefault="00074E51">
      <w:pPr>
        <w:pStyle w:val="Telobesedila"/>
        <w:rPr>
          <w:sz w:val="20"/>
        </w:rPr>
      </w:pPr>
    </w:p>
    <w:p w14:paraId="50AADABB" w14:textId="77777777" w:rsidR="00074E51" w:rsidRDefault="00074E51">
      <w:pPr>
        <w:pStyle w:val="Telobesedila"/>
        <w:rPr>
          <w:sz w:val="20"/>
        </w:rPr>
      </w:pPr>
    </w:p>
    <w:p w14:paraId="45960C14" w14:textId="77777777" w:rsidR="00074E51" w:rsidRDefault="00074E51">
      <w:pPr>
        <w:pStyle w:val="Telobesedila"/>
        <w:rPr>
          <w:sz w:val="20"/>
        </w:rPr>
      </w:pPr>
    </w:p>
    <w:p w14:paraId="285A346F" w14:textId="77777777" w:rsidR="00074E51" w:rsidRDefault="00074E51">
      <w:pPr>
        <w:pStyle w:val="Telobesedila"/>
        <w:rPr>
          <w:sz w:val="20"/>
        </w:rPr>
      </w:pPr>
    </w:p>
    <w:p w14:paraId="279A3FA5" w14:textId="77777777" w:rsidR="00074E51" w:rsidRDefault="00074E51">
      <w:pPr>
        <w:pStyle w:val="Telobesedila"/>
        <w:rPr>
          <w:sz w:val="20"/>
        </w:rPr>
      </w:pPr>
    </w:p>
    <w:p w14:paraId="6388750E" w14:textId="77777777" w:rsidR="00074E51" w:rsidRDefault="00074E51">
      <w:pPr>
        <w:pStyle w:val="Telobesedila"/>
        <w:rPr>
          <w:sz w:val="20"/>
        </w:rPr>
      </w:pPr>
    </w:p>
    <w:p w14:paraId="04FF8B4E" w14:textId="77777777" w:rsidR="00074E51" w:rsidRDefault="00074E51">
      <w:pPr>
        <w:pStyle w:val="Telobesedila"/>
        <w:rPr>
          <w:sz w:val="20"/>
        </w:rPr>
      </w:pPr>
    </w:p>
    <w:p w14:paraId="5A8FF46B" w14:textId="77777777" w:rsidR="00074E51" w:rsidRDefault="00074E51">
      <w:pPr>
        <w:pStyle w:val="Telobesedila"/>
        <w:rPr>
          <w:sz w:val="20"/>
        </w:rPr>
      </w:pPr>
    </w:p>
    <w:p w14:paraId="5FA098D7" w14:textId="77777777" w:rsidR="00074E51" w:rsidRDefault="00074E51">
      <w:pPr>
        <w:pStyle w:val="Telobesedila"/>
        <w:rPr>
          <w:sz w:val="20"/>
        </w:rPr>
      </w:pPr>
    </w:p>
    <w:p w14:paraId="2F14667E" w14:textId="77777777" w:rsidR="00074E51" w:rsidRDefault="00074E51">
      <w:pPr>
        <w:pStyle w:val="Telobesedila"/>
        <w:rPr>
          <w:sz w:val="20"/>
        </w:rPr>
      </w:pPr>
    </w:p>
    <w:p w14:paraId="3CACC950" w14:textId="77777777" w:rsidR="00074E51" w:rsidRDefault="00074E51">
      <w:pPr>
        <w:pStyle w:val="Telobesedila"/>
        <w:rPr>
          <w:sz w:val="20"/>
        </w:rPr>
      </w:pPr>
    </w:p>
    <w:p w14:paraId="4BB3DE39" w14:textId="77777777" w:rsidR="00074E51" w:rsidRDefault="00074E51">
      <w:pPr>
        <w:pStyle w:val="Telobesedila"/>
        <w:rPr>
          <w:sz w:val="20"/>
        </w:rPr>
      </w:pPr>
    </w:p>
    <w:p w14:paraId="4E611A95" w14:textId="77777777" w:rsidR="00074E51" w:rsidRDefault="00074E51">
      <w:pPr>
        <w:pStyle w:val="Telobesedila"/>
        <w:rPr>
          <w:sz w:val="20"/>
        </w:rPr>
      </w:pPr>
    </w:p>
    <w:p w14:paraId="7E4592DA" w14:textId="77777777" w:rsidR="00074E51" w:rsidRDefault="00074E51">
      <w:pPr>
        <w:pStyle w:val="Telobesedila"/>
        <w:rPr>
          <w:sz w:val="20"/>
        </w:rPr>
      </w:pPr>
    </w:p>
    <w:p w14:paraId="4E1FB566" w14:textId="77777777" w:rsidR="00074E51" w:rsidRDefault="00074E51">
      <w:pPr>
        <w:pStyle w:val="Telobesedila"/>
        <w:rPr>
          <w:sz w:val="20"/>
        </w:rPr>
      </w:pPr>
    </w:p>
    <w:p w14:paraId="317EDBCD" w14:textId="77777777" w:rsidR="00074E51" w:rsidRDefault="00074E51">
      <w:pPr>
        <w:pStyle w:val="Telobesedila"/>
        <w:rPr>
          <w:sz w:val="20"/>
        </w:rPr>
      </w:pPr>
    </w:p>
    <w:p w14:paraId="6AC327D4" w14:textId="77777777" w:rsidR="00074E51" w:rsidRDefault="00074E51">
      <w:pPr>
        <w:pStyle w:val="Telobesedila"/>
        <w:rPr>
          <w:sz w:val="20"/>
        </w:rPr>
      </w:pPr>
    </w:p>
    <w:p w14:paraId="5BDBE07B" w14:textId="77777777" w:rsidR="00074E51" w:rsidRDefault="00074E51">
      <w:pPr>
        <w:pStyle w:val="Telobesedila"/>
        <w:rPr>
          <w:sz w:val="20"/>
        </w:rPr>
      </w:pPr>
    </w:p>
    <w:p w14:paraId="1D3FC12D" w14:textId="77777777" w:rsidR="00074E51" w:rsidRDefault="00074E51">
      <w:pPr>
        <w:pStyle w:val="Telobesedila"/>
        <w:rPr>
          <w:sz w:val="20"/>
        </w:rPr>
      </w:pPr>
    </w:p>
    <w:p w14:paraId="31E2A3CE" w14:textId="77777777" w:rsidR="00074E51" w:rsidRDefault="00074E51">
      <w:pPr>
        <w:pStyle w:val="Telobesedila"/>
        <w:rPr>
          <w:sz w:val="20"/>
        </w:rPr>
      </w:pPr>
    </w:p>
    <w:p w14:paraId="5EB2E21D" w14:textId="77777777" w:rsidR="00074E51" w:rsidRDefault="00074E51">
      <w:pPr>
        <w:pStyle w:val="Telobesedila"/>
        <w:rPr>
          <w:sz w:val="20"/>
        </w:rPr>
      </w:pPr>
    </w:p>
    <w:p w14:paraId="0F9948EE" w14:textId="77777777" w:rsidR="00074E51" w:rsidRDefault="00074E51">
      <w:pPr>
        <w:pStyle w:val="Telobesedila"/>
        <w:rPr>
          <w:sz w:val="20"/>
        </w:rPr>
      </w:pPr>
    </w:p>
    <w:p w14:paraId="068F9680" w14:textId="77777777" w:rsidR="00074E51" w:rsidRDefault="00074E51">
      <w:pPr>
        <w:pStyle w:val="Telobesedila"/>
        <w:rPr>
          <w:sz w:val="20"/>
        </w:rPr>
      </w:pPr>
    </w:p>
    <w:p w14:paraId="4D8D5D47" w14:textId="77777777" w:rsidR="00074E51" w:rsidRDefault="00074E51">
      <w:pPr>
        <w:pStyle w:val="Telobesedila"/>
        <w:rPr>
          <w:sz w:val="20"/>
        </w:rPr>
      </w:pPr>
    </w:p>
    <w:p w14:paraId="43405026" w14:textId="77777777" w:rsidR="00074E51" w:rsidRDefault="000D5D28">
      <w:pPr>
        <w:pStyle w:val="Telobesedila"/>
        <w:spacing w:before="9"/>
        <w:rPr>
          <w:sz w:val="14"/>
        </w:rPr>
      </w:pPr>
      <w:r>
        <w:pict w14:anchorId="741F7BFF">
          <v:rect id="_x0000_s1027" style="position:absolute;margin-left:70.9pt;margin-top:11pt;width:352.9pt;height:.2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54F961A" w14:textId="77777777" w:rsidR="00074E51" w:rsidRDefault="005D1EC5">
      <w:pPr>
        <w:spacing w:before="96"/>
        <w:ind w:left="118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 znamki Volkswagen:</w:t>
      </w:r>
    </w:p>
    <w:p w14:paraId="293E242F" w14:textId="1C9C1ED4" w:rsidR="00074E51" w:rsidRDefault="005D1EC5" w:rsidP="00687EB5">
      <w:pPr>
        <w:spacing w:before="9" w:line="249" w:lineRule="auto"/>
        <w:ind w:left="118" w:right="2720"/>
        <w:jc w:val="both"/>
        <w:rPr>
          <w:sz w:val="15"/>
        </w:rPr>
      </w:pPr>
      <w:r>
        <w:rPr>
          <w:sz w:val="15"/>
        </w:rPr>
        <w:t>Znamka Volkswagen Osebna vozila je prisotna na več kot 150 trgih širom po svetu, vozila pa proizvaja na 50</w:t>
      </w:r>
      <w:r w:rsidR="00687EB5">
        <w:rPr>
          <w:sz w:val="15"/>
        </w:rPr>
        <w:t> </w:t>
      </w:r>
      <w:r>
        <w:rPr>
          <w:sz w:val="15"/>
        </w:rPr>
        <w:t xml:space="preserve">lokacijah v 14 državah. Leta 2019 je Volkswagen prodal okrog 6,3 milijona vozil, med katera sodijo prodajne uspešnice, kot so Golf, </w:t>
      </w:r>
      <w:proofErr w:type="spellStart"/>
      <w:r>
        <w:rPr>
          <w:sz w:val="15"/>
        </w:rPr>
        <w:t>Tiguan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Jetta</w:t>
      </w:r>
      <w:proofErr w:type="spellEnd"/>
      <w:r>
        <w:rPr>
          <w:sz w:val="15"/>
        </w:rPr>
        <w:t xml:space="preserve"> in </w:t>
      </w:r>
      <w:proofErr w:type="spellStart"/>
      <w:r>
        <w:rPr>
          <w:sz w:val="15"/>
        </w:rPr>
        <w:t>Passat</w:t>
      </w:r>
      <w:proofErr w:type="spellEnd"/>
      <w:r>
        <w:rPr>
          <w:sz w:val="15"/>
        </w:rPr>
        <w:t xml:space="preserve">. Trenutno je pri Volkswagnu po vsem svetu zaposlenih 195.878 ljudi. Poleg tega je v več kot 10.000 partnerskih </w:t>
      </w:r>
      <w:proofErr w:type="spellStart"/>
      <w:r>
        <w:rPr>
          <w:sz w:val="15"/>
        </w:rPr>
        <w:t>avtohišah</w:t>
      </w:r>
      <w:proofErr w:type="spellEnd"/>
      <w:r>
        <w:rPr>
          <w:sz w:val="15"/>
        </w:rPr>
        <w:t xml:space="preserve"> zaposlenih še 86.000 ljudi.</w:t>
      </w:r>
    </w:p>
    <w:p w14:paraId="4FFEF684" w14:textId="77777777" w:rsidR="00074E51" w:rsidRDefault="000D5D28" w:rsidP="00687EB5">
      <w:pPr>
        <w:spacing w:line="249" w:lineRule="auto"/>
        <w:ind w:left="118" w:right="2678"/>
        <w:jc w:val="both"/>
        <w:rPr>
          <w:sz w:val="15"/>
        </w:rPr>
      </w:pPr>
      <w:r>
        <w:pict w14:anchorId="76E4D008">
          <v:rect id="_x0000_s1026" style="position:absolute;left:0;text-align:left;margin-left:70.2pt;margin-top:24.4pt;width:353.65pt;height:.25pt;z-index:-15726080;mso-wrap-distance-left:0;mso-wrap-distance-right:0;mso-position-horizontal-relative:page" fillcolor="black" stroked="f">
            <w10:wrap type="topAndBottom" anchorx="page"/>
          </v:rect>
        </w:pict>
      </w:r>
      <w:r w:rsidR="005D1EC5">
        <w:rPr>
          <w:sz w:val="15"/>
        </w:rPr>
        <w:t>Volkswagen sistematično izpopolnjuje proizvodnjo avtomobilov. Električna mobilnost, pametna mobilnost in digitalna preobrazba znamke so ključna strateška področja za prihodnost.</w:t>
      </w:r>
    </w:p>
    <w:sectPr w:rsidR="00074E51">
      <w:pgSz w:w="11910" w:h="16840"/>
      <w:pgMar w:top="1880" w:right="660" w:bottom="1000" w:left="1300" w:header="638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FD66" w14:textId="77777777" w:rsidR="000D5D28" w:rsidRDefault="000D5D28">
      <w:r>
        <w:separator/>
      </w:r>
    </w:p>
  </w:endnote>
  <w:endnote w:type="continuationSeparator" w:id="0">
    <w:p w14:paraId="7FC1C6A5" w14:textId="77777777" w:rsidR="000D5D28" w:rsidRDefault="000D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W Text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VW Head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VW Text">
    <w:altName w:val="Calibri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91E0" w14:textId="77777777" w:rsidR="00074E51" w:rsidRDefault="000D5D28">
    <w:pPr>
      <w:pStyle w:val="Telobesedila"/>
      <w:spacing w:line="14" w:lineRule="auto"/>
      <w:rPr>
        <w:sz w:val="20"/>
      </w:rPr>
    </w:pPr>
    <w:r>
      <w:pict w14:anchorId="00A7CAE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15pt;margin-top:790.65pt;width:43.75pt;height:11.25pt;z-index:-15917056;mso-position-horizontal-relative:page;mso-position-vertical-relative:page" filled="f" stroked="f">
          <v:textbox inset="0,0,0,0">
            <w:txbxContent>
              <w:p w14:paraId="4F483940" w14:textId="77777777" w:rsidR="00074E51" w:rsidRDefault="005D1EC5">
                <w:pPr>
                  <w:spacing w:before="21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5"/>
                  </w:rPr>
                  <w:t xml:space="preserve"> od 3</w:t>
                </w:r>
              </w:p>
            </w:txbxContent>
          </v:textbox>
          <w10:wrap anchorx="page" anchory="page"/>
        </v:shape>
      </w:pict>
    </w:r>
    <w:r>
      <w:pict w14:anchorId="402026DC">
        <v:shape id="_x0000_s2049" type="#_x0000_t202" style="position:absolute;margin-left:70.3pt;margin-top:795.2pt;width:37.15pt;height:11.25pt;z-index:-15916544;mso-position-horizontal-relative:page;mso-position-vertical-relative:page" filled="f" stroked="f">
          <v:textbox inset="0,0,0,0">
            <w:txbxContent>
              <w:p w14:paraId="5E45E35B" w14:textId="77777777" w:rsidR="00074E51" w:rsidRDefault="005D1EC5">
                <w:pPr>
                  <w:spacing w:before="21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Št. 4/2021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430F" w14:textId="77777777" w:rsidR="000D5D28" w:rsidRDefault="000D5D28">
      <w:r>
        <w:separator/>
      </w:r>
    </w:p>
  </w:footnote>
  <w:footnote w:type="continuationSeparator" w:id="0">
    <w:p w14:paraId="79EAFAE6" w14:textId="77777777" w:rsidR="000D5D28" w:rsidRDefault="000D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7CF8" w14:textId="77777777" w:rsidR="00074E51" w:rsidRDefault="000D5D28">
    <w:pPr>
      <w:pStyle w:val="Telobesedila"/>
      <w:spacing w:line="14" w:lineRule="auto"/>
      <w:rPr>
        <w:sz w:val="20"/>
      </w:rPr>
    </w:pPr>
    <w:r>
      <w:pict w14:anchorId="052B0828">
        <v:shape id="_x0000_s2052" style="position:absolute;margin-left:470pt;margin-top:31.9pt;width:62.5pt;height:62.5pt;z-index:-15918080;mso-position-horizontal-relative:page;mso-position-vertical-relative:page" coordorigin="9400,638" coordsize="1250,1250" o:spt="100" adj="0,,0" path="m10025,1887r-73,-4l9881,1870r-67,-20l9750,1823r-61,-33l9634,1750r-51,-46l9537,1653r-40,-56l9463,1537r-27,-64l9416,1406r-12,-71l9400,1262r4,-73l9416,1119r20,-68l9463,987r34,-60l9537,871r46,-51l9634,775r55,-40l9750,701r64,-27l9881,654r71,-12l10025,638r73,4l10168,654r67,20l10285,695r-260,l9977,697r-47,6l9884,713r-44,14l9857,766r-105,l9693,804r-54,45l9591,900r-42,57l9602,1064r-107,l9479,1111r-11,49l9461,1211r-2,51l9464,1339r16,73l9504,1482r33,65l9578,1608r47,54l9680,1710r60,41l9805,1784r70,25l9948,1824r77,5l10286,1829r-51,21l10168,1870r-70,13l10025,1887xm10132,1134r-104,l10030,1130r2,-3l10210,727r-44,-14l10120,703r-47,-6l10025,695r260,l10300,701r60,34l10403,766r-106,l10132,1134xm10081,1237r-113,l9963,1235r-4,-8l9752,766r105,l10018,1127r1,3l10021,1134r111,l10090,1227r-3,8l10081,1237xm10316,1544r-107,l10210,1541r2,-4l10500,957r-42,-57l10410,849r-54,-45l10297,766r106,l10416,775r51,45l10512,871r40,56l10586,987r27,64l10617,1064r-63,l10316,1544xm9856,1746r-21,l9830,1739r-4,-9l9495,1064r107,l9837,1537r2,4l9840,1544r109,l9866,1730r-4,8l9856,1746xm10286,1829r-261,l10101,1824r73,-15l10244,1784r65,-33l10370,1710r54,-48l10472,1608r41,-61l10546,1482r24,-70l10585,1339r5,-77l10588,1211r-7,-51l10570,1111r-16,-47l10617,1064r16,55l10645,1189r4,73l10645,1335r-12,71l10613,1473r-27,64l10552,1597r-40,56l10467,1704r-51,46l10360,1790r-60,33l10286,1829xm9949,1544r-102,l9849,1541r2,-4l9959,1289r4,-9l9968,1279r113,l10087,1280r3,9l10130,1382r-109,l10019,1385r-1,4l9949,1544xm10214,1746r-21,l10187,1738r-3,-8l10032,1389r-2,-4l10028,1382r102,l10198,1537r2,4l10202,1544r114,l10224,1730r-5,9l10214,1746xe" fillcolor="#0f2e5a" stroked="f">
          <v:stroke joinstyle="round"/>
          <v:formulas/>
          <v:path arrowok="t" o:connecttype="segments"/>
          <w10:wrap anchorx="page" anchory="page"/>
        </v:shape>
      </w:pict>
    </w:r>
    <w:r>
      <w:pict w14:anchorId="5EE48AA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2pt;margin-top:51.5pt;width:152.45pt;height:23.95pt;z-index:-15917568;mso-position-horizontal-relative:page;mso-position-vertical-relative:page" filled="f" stroked="f">
          <v:textbox inset="0,0,0,0">
            <w:txbxContent>
              <w:p w14:paraId="2C7F9413" w14:textId="77777777" w:rsidR="00074E51" w:rsidRDefault="005D1EC5">
                <w:pPr>
                  <w:spacing w:before="20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002749"/>
                    <w:sz w:val="36"/>
                  </w:rPr>
                  <w:t>Sporočilo za medije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736E"/>
    <w:multiLevelType w:val="hybridMultilevel"/>
    <w:tmpl w:val="45DEC79E"/>
    <w:lvl w:ilvl="0" w:tplc="6C407668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F7F07CFC">
      <w:numFmt w:val="bullet"/>
      <w:lvlText w:val="•"/>
      <w:lvlJc w:val="left"/>
      <w:pPr>
        <w:ind w:left="1154" w:hanging="360"/>
      </w:pPr>
      <w:rPr>
        <w:rFonts w:hint="default"/>
        <w:lang w:val="de-DE" w:eastAsia="en-US" w:bidi="ar-SA"/>
      </w:rPr>
    </w:lvl>
    <w:lvl w:ilvl="2" w:tplc="3D2AD05C">
      <w:numFmt w:val="bullet"/>
      <w:lvlText w:val="•"/>
      <w:lvlJc w:val="left"/>
      <w:pPr>
        <w:ind w:left="1829" w:hanging="360"/>
      </w:pPr>
      <w:rPr>
        <w:rFonts w:hint="default"/>
        <w:lang w:val="de-DE" w:eastAsia="en-US" w:bidi="ar-SA"/>
      </w:rPr>
    </w:lvl>
    <w:lvl w:ilvl="3" w:tplc="F5F42338">
      <w:numFmt w:val="bullet"/>
      <w:lvlText w:val="•"/>
      <w:lvlJc w:val="left"/>
      <w:pPr>
        <w:ind w:left="2503" w:hanging="360"/>
      </w:pPr>
      <w:rPr>
        <w:rFonts w:hint="default"/>
        <w:lang w:val="de-DE" w:eastAsia="en-US" w:bidi="ar-SA"/>
      </w:rPr>
    </w:lvl>
    <w:lvl w:ilvl="4" w:tplc="66F43A60">
      <w:numFmt w:val="bullet"/>
      <w:lvlText w:val="•"/>
      <w:lvlJc w:val="left"/>
      <w:pPr>
        <w:ind w:left="3178" w:hanging="360"/>
      </w:pPr>
      <w:rPr>
        <w:rFonts w:hint="default"/>
        <w:lang w:val="de-DE" w:eastAsia="en-US" w:bidi="ar-SA"/>
      </w:rPr>
    </w:lvl>
    <w:lvl w:ilvl="5" w:tplc="DDB641C2">
      <w:numFmt w:val="bullet"/>
      <w:lvlText w:val="•"/>
      <w:lvlJc w:val="left"/>
      <w:pPr>
        <w:ind w:left="3853" w:hanging="360"/>
      </w:pPr>
      <w:rPr>
        <w:rFonts w:hint="default"/>
        <w:lang w:val="de-DE" w:eastAsia="en-US" w:bidi="ar-SA"/>
      </w:rPr>
    </w:lvl>
    <w:lvl w:ilvl="6" w:tplc="2E48CA46">
      <w:numFmt w:val="bullet"/>
      <w:lvlText w:val="•"/>
      <w:lvlJc w:val="left"/>
      <w:pPr>
        <w:ind w:left="4527" w:hanging="360"/>
      </w:pPr>
      <w:rPr>
        <w:rFonts w:hint="default"/>
        <w:lang w:val="de-DE" w:eastAsia="en-US" w:bidi="ar-SA"/>
      </w:rPr>
    </w:lvl>
    <w:lvl w:ilvl="7" w:tplc="8C72790C">
      <w:numFmt w:val="bullet"/>
      <w:lvlText w:val="•"/>
      <w:lvlJc w:val="left"/>
      <w:pPr>
        <w:ind w:left="5202" w:hanging="360"/>
      </w:pPr>
      <w:rPr>
        <w:rFonts w:hint="default"/>
        <w:lang w:val="de-DE" w:eastAsia="en-US" w:bidi="ar-SA"/>
      </w:rPr>
    </w:lvl>
    <w:lvl w:ilvl="8" w:tplc="29A2A4DA">
      <w:numFmt w:val="bullet"/>
      <w:lvlText w:val="•"/>
      <w:lvlJc w:val="left"/>
      <w:pPr>
        <w:ind w:left="5876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E51"/>
    <w:rsid w:val="00074E51"/>
    <w:rsid w:val="000D5D28"/>
    <w:rsid w:val="005D1EC5"/>
    <w:rsid w:val="00687EB5"/>
    <w:rsid w:val="00815CA7"/>
    <w:rsid w:val="008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A816D6"/>
  <w15:docId w15:val="{9A87CB96-7BBF-4C77-8858-2DF8A38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VW Text Office" w:eastAsia="VW Text Office" w:hAnsi="VW Text Office" w:cs="VW Text Office"/>
    </w:rPr>
  </w:style>
  <w:style w:type="paragraph" w:styleId="Naslov1">
    <w:name w:val="heading 1"/>
    <w:basedOn w:val="Navaden"/>
    <w:uiPriority w:val="9"/>
    <w:qFormat/>
    <w:pPr>
      <w:ind w:left="478" w:hanging="361"/>
      <w:outlineLvl w:val="0"/>
    </w:pPr>
    <w:rPr>
      <w:rFonts w:ascii="VW Head Office" w:eastAsia="VW Head Office" w:hAnsi="VW Head Office" w:cs="VW Head Office"/>
      <w:b/>
      <w:bCs/>
      <w:sz w:val="19"/>
      <w:szCs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9"/>
      <w:szCs w:val="19"/>
    </w:rPr>
  </w:style>
  <w:style w:type="paragraph" w:styleId="Naslov">
    <w:name w:val="Title"/>
    <w:basedOn w:val="Navaden"/>
    <w:uiPriority w:val="10"/>
    <w:qFormat/>
    <w:pPr>
      <w:spacing w:before="20"/>
      <w:ind w:left="20"/>
    </w:pPr>
    <w:rPr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  <w:pPr>
      <w:ind w:left="478" w:hanging="361"/>
    </w:pPr>
    <w:rPr>
      <w:rFonts w:ascii="VW Head Office" w:eastAsia="VW Head Office" w:hAnsi="VW Head Office" w:cs="VW Head Office"/>
    </w:rPr>
  </w:style>
  <w:style w:type="paragraph" w:customStyle="1" w:styleId="TableParagraph">
    <w:name w:val="Table Paragraph"/>
    <w:basedOn w:val="Navaden"/>
    <w:uiPriority w:val="1"/>
    <w:qFormat/>
    <w:pPr>
      <w:spacing w:before="1" w:line="247" w:lineRule="exact"/>
      <w:ind w:right="58"/>
      <w:jc w:val="right"/>
    </w:pPr>
    <w:rPr>
      <w:rFonts w:ascii="VW Text" w:eastAsia="VW Text" w:hAnsi="VW Text" w:cs="VW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.oemisch@volkswage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lkswagen-media-services.com/" TargetMode="External"/><Relationship Id="rId10" Type="http://schemas.openxmlformats.org/officeDocument/2006/relationships/hyperlink" Target="mailto:joern.roggenbuck@volkswag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Köbler</dc:creator>
  <dc:description>Prevod: C94</dc:description>
  <cp:lastModifiedBy>Pecelin Sabrina (PSLO - SI/Ljubljana)</cp:lastModifiedBy>
  <cp:revision>2</cp:revision>
  <dcterms:created xsi:type="dcterms:W3CDTF">2021-01-13T15:56:00Z</dcterms:created>
  <dcterms:modified xsi:type="dcterms:W3CDTF">2021-01-13T15:56:00Z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2021-01-12T00:00:00Z</vt:filetime>
  </property>
</Properties>
</file>